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48"/>
          <w:szCs w:val="48"/>
        </w:rPr>
        <w:t xml:space="preserve">קנסות AML משמעותיים - 2025</w:t>
      </w:r>
    </w:p>
    <w:p>
      <w:pPr>
        <w:spacing w:after="400"/>
        <w:jc w:val="center"/>
      </w:pPr>
      <w:r>
        <w:rPr>
          <w:rFonts w:ascii="Arial" w:cs="Arial" w:eastAsia="Arial" w:hAnsi="Arial"/>
          <w:color w:val="666666"/>
          <w:sz w:val="24"/>
          <w:szCs w:val="24"/>
        </w:rPr>
        <w:t xml:space="preserve">סקירת קנסות בגין הפרות בתחום איסור הלבנת הון באירופה, בריטניה וארה"ב</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600"/>
        <w:gridCol w:w="7200"/>
      </w:tblGrid>
      <w:tr>
        <w:trPr>
          <w:tblHeader/>
        </w:trPr>
        <w:tc>
          <w:tcPr>
            <w:tcW w:type="dxa" w:w="1800"/>
            <w:tcBorders>
              <w:top w:val="single" w:color="666666" w:sz="1"/>
              <w:left w:val="single" w:color="666666" w:sz="1"/>
              <w:bottom w:val="single" w:color="666666" w:sz="1"/>
              <w:right w:val="single" w:color="666666" w:sz="1"/>
            </w:tcBorders>
            <w:shd w:fill="1F4E79" w:val="clear"/>
          </w:tcPr>
          <w:p>
            <w:pPr>
              <w:jc w:val="center"/>
            </w:pPr>
            <w:r>
              <w:rPr>
                <w:rFonts w:ascii="Arial" w:cs="Arial" w:eastAsia="Arial" w:hAnsi="Arial"/>
                <w:b/>
                <w:bCs/>
                <w:color w:val="FFFFFF"/>
                <w:sz w:val="22"/>
                <w:szCs w:val="22"/>
              </w:rPr>
              <w:t xml:space="preserve">גוף רגולטורי</w:t>
            </w:r>
          </w:p>
        </w:tc>
        <w:tc>
          <w:tcPr>
            <w:tcW w:type="dxa" w:w="1400"/>
            <w:tcBorders>
              <w:top w:val="single" w:color="666666" w:sz="1"/>
              <w:left w:val="single" w:color="666666" w:sz="1"/>
              <w:bottom w:val="single" w:color="666666" w:sz="1"/>
              <w:right w:val="single" w:color="666666" w:sz="1"/>
            </w:tcBorders>
            <w:shd w:fill="1F4E79" w:val="clear"/>
          </w:tcPr>
          <w:p>
            <w:pPr>
              <w:jc w:val="center"/>
            </w:pPr>
            <w:r>
              <w:rPr>
                <w:rFonts w:ascii="Arial" w:cs="Arial" w:eastAsia="Arial" w:hAnsi="Arial"/>
                <w:b/>
                <w:bCs/>
                <w:color w:val="FFFFFF"/>
                <w:sz w:val="22"/>
                <w:szCs w:val="22"/>
              </w:rPr>
              <w:t xml:space="preserve">מדינה</w:t>
            </w:r>
          </w:p>
        </w:tc>
        <w:tc>
          <w:tcPr>
            <w:tcW w:type="dxa" w:w="2000"/>
            <w:tcBorders>
              <w:top w:val="single" w:color="666666" w:sz="1"/>
              <w:left w:val="single" w:color="666666" w:sz="1"/>
              <w:bottom w:val="single" w:color="666666" w:sz="1"/>
              <w:right w:val="single" w:color="666666" w:sz="1"/>
            </w:tcBorders>
            <w:shd w:fill="1F4E79" w:val="clear"/>
          </w:tcPr>
          <w:p>
            <w:pPr>
              <w:jc w:val="center"/>
            </w:pPr>
            <w:r>
              <w:rPr>
                <w:rFonts w:ascii="Arial" w:cs="Arial" w:eastAsia="Arial" w:hAnsi="Arial"/>
                <w:b/>
                <w:bCs/>
                <w:color w:val="FFFFFF"/>
                <w:sz w:val="22"/>
                <w:szCs w:val="22"/>
              </w:rPr>
              <w:t xml:space="preserve">הגוף שנקנס</w:t>
            </w:r>
          </w:p>
        </w:tc>
        <w:tc>
          <w:tcPr>
            <w:tcW w:type="dxa" w:w="1600"/>
            <w:tcBorders>
              <w:top w:val="single" w:color="666666" w:sz="1"/>
              <w:left w:val="single" w:color="666666" w:sz="1"/>
              <w:bottom w:val="single" w:color="666666" w:sz="1"/>
              <w:right w:val="single" w:color="666666" w:sz="1"/>
            </w:tcBorders>
            <w:shd w:fill="1F4E79" w:val="clear"/>
          </w:tcPr>
          <w:p>
            <w:pPr>
              <w:jc w:val="center"/>
            </w:pPr>
            <w:r>
              <w:rPr>
                <w:rFonts w:ascii="Arial" w:cs="Arial" w:eastAsia="Arial" w:hAnsi="Arial"/>
                <w:b/>
                <w:bCs/>
                <w:color w:val="FFFFFF"/>
                <w:sz w:val="22"/>
                <w:szCs w:val="22"/>
              </w:rPr>
              <w:t xml:space="preserve">סכום הקנס</w:t>
            </w:r>
          </w:p>
        </w:tc>
        <w:tc>
          <w:tcPr>
            <w:tcW w:type="dxa" w:w="7200"/>
            <w:tcBorders>
              <w:top w:val="single" w:color="666666" w:sz="1"/>
              <w:left w:val="single" w:color="666666" w:sz="1"/>
              <w:bottom w:val="single" w:color="666666" w:sz="1"/>
              <w:right w:val="single" w:color="666666" w:sz="1"/>
            </w:tcBorders>
            <w:shd w:fill="1F4E79" w:val="clear"/>
          </w:tcPr>
          <w:p>
            <w:pPr>
              <w:jc w:val="center"/>
            </w:pPr>
            <w:r>
              <w:rPr>
                <w:rFonts w:ascii="Arial" w:cs="Arial" w:eastAsia="Arial" w:hAnsi="Arial"/>
                <w:b/>
                <w:bCs/>
                <w:color w:val="FFFFFF"/>
                <w:sz w:val="22"/>
                <w:szCs w:val="22"/>
              </w:rPr>
              <w:t xml:space="preserve">מהות ההפרה</w:t>
            </w:r>
          </w:p>
        </w:tc>
      </w:tr>
      <w:tr>
        <w:tc>
          <w:tcPr>
            <w:tcW w:type="dxa" w:w="18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DOJ / FinCEN</w:t>
            </w:r>
          </w:p>
        </w:tc>
        <w:tc>
          <w:tcPr>
            <w:tcW w:type="dxa" w:w="14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ארה"ב</w:t>
            </w:r>
          </w:p>
        </w:tc>
        <w:tc>
          <w:tcPr>
            <w:tcW w:type="dxa" w:w="20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OKX (בורסת קריפטו)</w:t>
            </w:r>
          </w:p>
        </w:tc>
        <w:tc>
          <w:tcPr>
            <w:tcW w:type="dxa" w:w="16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$504M</w:t>
            </w:r>
          </w:p>
        </w:tc>
        <w:tc>
          <w:tcPr>
            <w:tcW w:type="dxa" w:w="72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18"/>
                <w:szCs w:val="18"/>
              </w:rPr>
              <w:t xml:space="preserve">הפעלת עסק העברת כספים ללא רישיון במשך 7 שנים. אפשרה מעל $5 מיליארד בעסקאות חשודות ותמורות פליליות. לא יישמה נהלי KYC נאותים - עובדים הנחו לקוחות אמריקאים לזייף מידע זיהוי. לא רשמה MSB ב-FinCEN למרות מודעות לדרישה. לא ניטרה עסקאות חשודות ולא יישמה סינון סנקציות OFAC.</w:t>
            </w:r>
          </w:p>
        </w:tc>
      </w:tr>
      <w:tr>
        <w:tc>
          <w:tcPr>
            <w:tcW w:type="dxa" w:w="18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FINRA</w:t>
            </w:r>
          </w:p>
        </w:tc>
        <w:tc>
          <w:tcPr>
            <w:tcW w:type="dxa" w:w="14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ארה"ב</w:t>
            </w:r>
          </w:p>
        </w:tc>
        <w:tc>
          <w:tcPr>
            <w:tcW w:type="dxa" w:w="20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Robinhood</w:t>
            </w:r>
          </w:p>
        </w:tc>
        <w:tc>
          <w:tcPr>
            <w:tcW w:type="dxa" w:w="16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$29.75M</w:t>
            </w:r>
          </w:p>
        </w:tc>
        <w:tc>
          <w:tcPr>
            <w:tcW w:type="dxa" w:w="72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18"/>
                <w:szCs w:val="18"/>
              </w:rPr>
              <w:t xml:space="preserve">כשלים חמורים בתוכנית AML מאז 2014. כשל בטיפול יעיל בהתראות אדומות שנוצרו במערכת. כשל בזיהוי והתמודדות עם התנהגות לקוחות חשודה. חלק מהקנס ($3.75M) הופנה לפיצוי לקוחות שנפגעו.</w:t>
            </w:r>
          </w:p>
        </w:tc>
      </w:tr>
      <w:tr>
        <w:tc>
          <w:tcPr>
            <w:tcW w:type="dxa" w:w="18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NYDFS</w:t>
            </w:r>
          </w:p>
        </w:tc>
        <w:tc>
          <w:tcPr>
            <w:tcW w:type="dxa" w:w="14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ארה"ב</w:t>
            </w:r>
          </w:p>
        </w:tc>
        <w:tc>
          <w:tcPr>
            <w:tcW w:type="dxa" w:w="20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Paxos Trust Company</w:t>
            </w:r>
          </w:p>
        </w:tc>
        <w:tc>
          <w:tcPr>
            <w:tcW w:type="dxa" w:w="16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$26.5M</w:t>
            </w:r>
          </w:p>
        </w:tc>
        <w:tc>
          <w:tcPr>
            <w:tcW w:type="dxa" w:w="72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18"/>
                <w:szCs w:val="18"/>
              </w:rPr>
              <w:t xml:space="preserve">ליקויים בתוכנית ה-AML של החברה. בדיקת נאותות לא מספקת של שותף עסקי לשעבר (Binance). כשל ביישום בקרות מתאימות למניעת הלבנת הון.</w:t>
            </w:r>
          </w:p>
        </w:tc>
      </w:tr>
      <w:tr>
        <w:tc>
          <w:tcPr>
            <w:tcW w:type="dxa" w:w="18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Nevada Gaming Control</w:t>
            </w:r>
          </w:p>
        </w:tc>
        <w:tc>
          <w:tcPr>
            <w:tcW w:type="dxa" w:w="14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ארה"ב</w:t>
            </w:r>
          </w:p>
        </w:tc>
        <w:tc>
          <w:tcPr>
            <w:tcW w:type="dxa" w:w="20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Wynn Resorts</w:t>
            </w:r>
          </w:p>
        </w:tc>
        <w:tc>
          <w:tcPr>
            <w:tcW w:type="dxa" w:w="16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$5.5M</w:t>
            </w:r>
          </w:p>
        </w:tc>
        <w:tc>
          <w:tcPr>
            <w:tcW w:type="dxa" w:w="72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18"/>
                <w:szCs w:val="18"/>
              </w:rPr>
              <w:t xml:space="preserve">הפרות AML בקזינו. כשל ביישום בקרות נאותות למניעת הלבנת הון בתעשיית ההימורים.</w:t>
            </w:r>
          </w:p>
        </w:tc>
      </w:tr>
      <w:tr>
        <w:tc>
          <w:tcPr>
            <w:tcW w:type="dxa" w:w="18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FCA</w:t>
            </w:r>
          </w:p>
        </w:tc>
        <w:tc>
          <w:tcPr>
            <w:tcW w:type="dxa" w:w="14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בריטניה</w:t>
            </w:r>
          </w:p>
        </w:tc>
        <w:tc>
          <w:tcPr>
            <w:tcW w:type="dxa" w:w="20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Barclays Bank</w:t>
            </w:r>
          </w:p>
        </w:tc>
        <w:tc>
          <w:tcPr>
            <w:tcW w:type="dxa" w:w="16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£42M</w:t>
            </w:r>
          </w:p>
        </w:tc>
        <w:tc>
          <w:tcPr>
            <w:tcW w:type="dxa" w:w="72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18"/>
                <w:szCs w:val="18"/>
              </w:rPr>
              <w:t xml:space="preserve">שני מקרים נפרדים: (1) WealthTek - כשל באיסוף מידע מספק להבנת סיכון הלבנת הון לפני פתיחת חשבון. בדיקה פשוטה ברשם השירותים הפיננסיים הייתה מגלה ש-WealthTek לא הורשתה להחזיק כספי לקוחות. (2) Stunt &amp; Co - כשל בניהול סיכוני הלבנת הון. תוך שנה וחודש, Stunt &amp; Co קיבלה £46.8M מ-Fowler Oldfield (רשת הלבנת הון). הבנק התעלם מהתראות משטרה, פשיטות והאשמות בהלבנת הון.</w:t>
            </w:r>
          </w:p>
        </w:tc>
      </w:tr>
      <w:tr>
        <w:tc>
          <w:tcPr>
            <w:tcW w:type="dxa" w:w="18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FCA</w:t>
            </w:r>
          </w:p>
        </w:tc>
        <w:tc>
          <w:tcPr>
            <w:tcW w:type="dxa" w:w="14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בריטניה</w:t>
            </w:r>
          </w:p>
        </w:tc>
        <w:tc>
          <w:tcPr>
            <w:tcW w:type="dxa" w:w="20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Monzo Bank</w:t>
            </w:r>
          </w:p>
        </w:tc>
        <w:tc>
          <w:tcPr>
            <w:tcW w:type="dxa" w:w="16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£21M</w:t>
            </w:r>
          </w:p>
        </w:tc>
        <w:tc>
          <w:tcPr>
            <w:tcW w:type="dxa" w:w="72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18"/>
                <w:szCs w:val="18"/>
              </w:rPr>
              <w:t xml:space="preserve">מערכות בקרה נגד פשיעה פיננסית לא מספקות (2018-2022). הבנק צמח פי 10 (600K ל-5.8M לקוחות) אך בקרות ה-AML לא עמדו בקצב. כשל בקליטת לקוחות - אפשר פתיחת חשבונות עם כתובות בלתי סבירות (ארמון בקינגהם, דאונינג 10). הפר דרישה של FCA שאסרה פתיחת חשבונות ללקוחות בסיכון גבוה - צירף 34,000 לקוחות בסיכון גבוה בהפרה.</w:t>
            </w:r>
          </w:p>
        </w:tc>
      </w:tr>
      <w:tr>
        <w:tc>
          <w:tcPr>
            <w:tcW w:type="dxa" w:w="18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HMRC</w:t>
            </w:r>
          </w:p>
        </w:tc>
        <w:tc>
          <w:tcPr>
            <w:tcW w:type="dxa" w:w="14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בריטניה</w:t>
            </w:r>
          </w:p>
        </w:tc>
        <w:tc>
          <w:tcPr>
            <w:tcW w:type="dxa" w:w="20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MT Global Limited</w:t>
            </w:r>
          </w:p>
        </w:tc>
        <w:tc>
          <w:tcPr>
            <w:tcW w:type="dxa" w:w="16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£23M</w:t>
            </w:r>
          </w:p>
        </w:tc>
        <w:tc>
          <w:tcPr>
            <w:tcW w:type="dxa" w:w="72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18"/>
                <w:szCs w:val="18"/>
              </w:rPr>
              <w:t xml:space="preserve">קנס שיא של HMRC (הרשות הפיסקלית). הפרות AML חמורות בין 2017-2019 כולל: כשל בבדיקת נאותות לקוחות (CDD), כשל בהערכות סיכון, כשל בשמירת רשומות נאותות.</w:t>
            </w:r>
          </w:p>
        </w:tc>
      </w:tr>
      <w:tr>
        <w:tc>
          <w:tcPr>
            <w:tcW w:type="dxa" w:w="18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UK Gambling Commission</w:t>
            </w:r>
          </w:p>
        </w:tc>
        <w:tc>
          <w:tcPr>
            <w:tcW w:type="dxa" w:w="14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בריטניה</w:t>
            </w:r>
          </w:p>
        </w:tc>
        <w:tc>
          <w:tcPr>
            <w:tcW w:type="dxa" w:w="20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Spreadex Limited</w:t>
            </w:r>
          </w:p>
        </w:tc>
        <w:tc>
          <w:tcPr>
            <w:tcW w:type="dxa" w:w="16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£2M</w:t>
            </w:r>
          </w:p>
        </w:tc>
        <w:tc>
          <w:tcPr>
            <w:tcW w:type="dxa" w:w="72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18"/>
                <w:szCs w:val="18"/>
              </w:rPr>
              <w:t xml:space="preserve">הפרות AML ואחריות חברתית במגזר ההימורים. כשל ביישום בקרות נאותות למניעת הלבנת הון.</w:t>
            </w:r>
          </w:p>
        </w:tc>
      </w:tr>
      <w:tr>
        <w:tc>
          <w:tcPr>
            <w:tcW w:type="dxa" w:w="18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UK Gambling Commission</w:t>
            </w:r>
          </w:p>
        </w:tc>
        <w:tc>
          <w:tcPr>
            <w:tcW w:type="dxa" w:w="14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בריטניה</w:t>
            </w:r>
          </w:p>
        </w:tc>
        <w:tc>
          <w:tcPr>
            <w:tcW w:type="dxa" w:w="20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Greentube (Admiral Casino)</w:t>
            </w:r>
          </w:p>
        </w:tc>
        <w:tc>
          <w:tcPr>
            <w:tcW w:type="dxa" w:w="16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£1M</w:t>
            </w:r>
          </w:p>
        </w:tc>
        <w:tc>
          <w:tcPr>
            <w:tcW w:type="dxa" w:w="72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18"/>
                <w:szCs w:val="18"/>
              </w:rPr>
              <w:t xml:space="preserve">זהו הקנס השני של החברה (לאחר £685K ב-2021). כשל בזיהוי לקוחות פגיעים, עיכוב בפעולה על חשבונות חשודים, התעלמות ממדיניות פנימית לגבי מקצועות בסיכון גבוה. אפשרה ללקוח עם יתרה שלילית בחשבון להפקיד £4,000.</w:t>
            </w:r>
          </w:p>
        </w:tc>
      </w:tr>
      <w:tr>
        <w:tc>
          <w:tcPr>
            <w:tcW w:type="dxa" w:w="18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DNB (הולנד)</w:t>
            </w:r>
          </w:p>
        </w:tc>
        <w:tc>
          <w:tcPr>
            <w:tcW w:type="dxa" w:w="14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הולנד</w:t>
            </w:r>
          </w:p>
        </w:tc>
        <w:tc>
          <w:tcPr>
            <w:tcW w:type="dxa" w:w="20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Bunq</w:t>
            </w:r>
          </w:p>
        </w:tc>
        <w:tc>
          <w:tcPr>
            <w:tcW w:type="dxa" w:w="16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€2.6M</w:t>
            </w:r>
          </w:p>
        </w:tc>
        <w:tc>
          <w:tcPr>
            <w:tcW w:type="dxa" w:w="72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18"/>
                <w:szCs w:val="18"/>
              </w:rPr>
              <w:t xml:space="preserve">ליקויים חמורים בבקרות AML (2021-2022). כשל במעקב אחר התראות עסקאות חשודות. לא חקרה אותות של פשיעה פיננסית אפשרית בעומק מספיק, אם בכלל. לא יכלה להסביר מדוע עסקאות עם מאפיינים דומים דווחו במקרים מסוימים אך לא באחרים.</w:t>
            </w:r>
          </w:p>
        </w:tc>
      </w:tr>
      <w:tr>
        <w:tc>
          <w:tcPr>
            <w:tcW w:type="dxa" w:w="18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DNB (הולנד)</w:t>
            </w:r>
          </w:p>
        </w:tc>
        <w:tc>
          <w:tcPr>
            <w:tcW w:type="dxa" w:w="14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הולנד</w:t>
            </w:r>
          </w:p>
        </w:tc>
        <w:tc>
          <w:tcPr>
            <w:tcW w:type="dxa" w:w="20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De Volksbank N.V.</w:t>
            </w:r>
          </w:p>
        </w:tc>
        <w:tc>
          <w:tcPr>
            <w:tcW w:type="dxa" w:w="16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€2.5M</w:t>
            </w:r>
          </w:p>
        </w:tc>
        <w:tc>
          <w:tcPr>
            <w:tcW w:type="dxa" w:w="72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18"/>
                <w:szCs w:val="18"/>
              </w:rPr>
              <w:t xml:space="preserve">ליקויים חמורים במערכות AML (2018-2020). כשל בהערכת סיכון הלבנת הון ומימון טרור בקרב בסיס הלקוחות. פיקוח פנימי לקוי על תהליכי AML. הליקויים 'פגעו קשות באפקטיביות המאבק בפשיעה פיננסית'.</w:t>
            </w:r>
          </w:p>
        </w:tc>
      </w:tr>
      <w:tr>
        <w:tc>
          <w:tcPr>
            <w:tcW w:type="dxa" w:w="18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Bank of Lithuania</w:t>
            </w:r>
          </w:p>
        </w:tc>
        <w:tc>
          <w:tcPr>
            <w:tcW w:type="dxa" w:w="14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ליטא</w:t>
            </w:r>
          </w:p>
        </w:tc>
        <w:tc>
          <w:tcPr>
            <w:tcW w:type="dxa" w:w="20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Revolut Bank</w:t>
            </w:r>
          </w:p>
        </w:tc>
        <w:tc>
          <w:tcPr>
            <w:tcW w:type="dxa" w:w="16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€3.5M</w:t>
            </w:r>
          </w:p>
        </w:tc>
        <w:tc>
          <w:tcPr>
            <w:tcW w:type="dxa" w:w="72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18"/>
                <w:szCs w:val="18"/>
              </w:rPr>
              <w:t xml:space="preserve">קנס AML באפריל 2025 - הסלמה משמעותית מקנסות קודמים (€50K ב-2022). ליקויים ב-AML על רקע צמיחה מהירה. הבנק הפך לגדול בליטא מבחינת נכסים (€20B+ ב-2024).</w:t>
            </w:r>
          </w:p>
        </w:tc>
      </w:tr>
      <w:tr>
        <w:tc>
          <w:tcPr>
            <w:tcW w:type="dxa" w:w="18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BaFin (גרמניה)</w:t>
            </w:r>
          </w:p>
        </w:tc>
        <w:tc>
          <w:tcPr>
            <w:tcW w:type="dxa" w:w="14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גרמניה</w:t>
            </w:r>
          </w:p>
        </w:tc>
        <w:tc>
          <w:tcPr>
            <w:tcW w:type="dxa" w:w="20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N26 Bank</w:t>
            </w:r>
          </w:p>
        </w:tc>
        <w:tc>
          <w:tcPr>
            <w:tcW w:type="dxa" w:w="16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20"/>
                <w:szCs w:val="20"/>
              </w:rPr>
              <w:t xml:space="preserve">€9.2M (2024)</w:t>
            </w:r>
          </w:p>
        </w:tc>
        <w:tc>
          <w:tcPr>
            <w:tcW w:type="dxa" w:w="7200"/>
            <w:tcBorders>
              <w:top w:val="single" w:color="666666" w:sz="1"/>
              <w:left w:val="single" w:color="666666" w:sz="1"/>
              <w:bottom w:val="single" w:color="666666" w:sz="1"/>
              <w:right w:val="single" w:color="666666" w:sz="1"/>
            </w:tcBorders>
          </w:tcPr>
          <w:p>
            <w:pPr>
              <w:spacing w:before="60" w:after="60"/>
              <w:jc w:val="right"/>
            </w:pPr>
            <w:r>
              <w:rPr>
                <w:rFonts w:ascii="Arial" w:cs="Arial" w:eastAsia="Arial" w:hAnsi="Arial"/>
                <w:sz w:val="18"/>
                <w:szCs w:val="18"/>
              </w:rPr>
              <w:t xml:space="preserve">כשלים בדיווח על פעילות חשודה. זהו קנס שני לאחר €4.25M ב-2021 על דיווחים מאוחרים. BaFin הגבילה קליטת לקוחות ל-50,000 בחודש. מונה פקח מיוחד לפיקוח על תיקון הליקויים.</w:t>
            </w:r>
          </w:p>
        </w:tc>
      </w:tr>
      <w:tr>
        <w:tc>
          <w:tcPr>
            <w:tcW w:type="dxa" w:w="18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CBUAE</w:t>
            </w:r>
          </w:p>
        </w:tc>
        <w:tc>
          <w:tcPr>
            <w:tcW w:type="dxa" w:w="14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איחוד האמירויות</w:t>
            </w:r>
          </w:p>
        </w:tc>
        <w:tc>
          <w:tcPr>
            <w:tcW w:type="dxa" w:w="20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בית עסק המרה (לא פורסם)</w:t>
            </w:r>
          </w:p>
        </w:tc>
        <w:tc>
          <w:tcPr>
            <w:tcW w:type="dxa" w:w="16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20"/>
                <w:szCs w:val="20"/>
              </w:rPr>
              <w:t xml:space="preserve">~$55M (AED 200M)</w:t>
            </w:r>
          </w:p>
        </w:tc>
        <w:tc>
          <w:tcPr>
            <w:tcW w:type="dxa" w:w="7200"/>
            <w:tcBorders>
              <w:top w:val="single" w:color="666666" w:sz="1"/>
              <w:left w:val="single" w:color="666666" w:sz="1"/>
              <w:bottom w:val="single" w:color="666666" w:sz="1"/>
              <w:right w:val="single" w:color="666666" w:sz="1"/>
            </w:tcBorders>
            <w:shd w:fill="F2F2F2" w:val="clear"/>
          </w:tcPr>
          <w:p>
            <w:pPr>
              <w:spacing w:before="60" w:after="60"/>
              <w:jc w:val="right"/>
            </w:pPr>
            <w:r>
              <w:rPr>
                <w:rFonts w:ascii="Arial" w:cs="Arial" w:eastAsia="Arial" w:hAnsi="Arial"/>
                <w:sz w:val="18"/>
                <w:szCs w:val="18"/>
              </w:rPr>
              <w:t xml:space="preserve">הקנס הגדול ביותר מסוגו באמירויות. כשל ביישום מנגנוני זיהוי סיכונים פנימיים. ליקויים בבדיקת נאותות לקוחות. כשל בניטור עסקאות. החברה קיבלה התראות קודמות שהתעלמה מהן.</w:t>
            </w:r>
          </w:p>
        </w:tc>
      </w:tr>
    </w:tbl>
    <w:p>
      <w:pPr>
        <w:spacing w:before="400"/>
      </w:pPr>
    </w:p>
    <w:p>
      <w:pPr>
        <w:jc w:val="right"/>
      </w:pPr>
      <w:r>
        <w:rPr>
          <w:rFonts w:ascii="Arial" w:cs="Arial" w:eastAsia="Arial" w:hAnsi="Arial"/>
          <w:i/>
          <w:iCs/>
          <w:color w:val="888888"/>
          <w:sz w:val="18"/>
          <w:szCs w:val="18"/>
        </w:rPr>
        <w:t xml:space="preserve">מקור: FCA, DOJ, FinCEN, DNB, BaFin, NYDFS, FINRA ועוד | עודכן: דצמבר 2025</w:t>
      </w:r>
    </w:p>
    <w:p>
      <w:pPr>
        <w:spacing w:before="600"/>
      </w:pPr>
    </w:p>
    <w:p>
      <w:pPr>
        <w:pStyle w:val="Heading1"/>
        <w:jc w:val="right"/>
      </w:pPr>
      <w:r>
        <w:rPr>
          <w:b/>
          <w:bCs/>
        </w:rPr>
        <w:t xml:space="preserve">מגמות מרכזיות 2025</w:t>
      </w:r>
    </w:p>
    <w:p>
      <w:pPr>
        <w:spacing w:after="120"/>
        <w:jc w:val="right"/>
      </w:pPr>
      <w:r>
        <w:rPr>
          <w:rFonts w:ascii="Arial" w:cs="Arial" w:eastAsia="Arial" w:hAnsi="Arial"/>
          <w:sz w:val="22"/>
          <w:szCs w:val="22"/>
        </w:rPr>
        <w:t xml:space="preserve">• סכום קנסות שיא: מעל $6 מיליארד ברחבי העולם עד אמצע 2025</w:t>
      </w:r>
    </w:p>
    <w:p>
      <w:pPr>
        <w:spacing w:after="120"/>
        <w:jc w:val="right"/>
      </w:pPr>
      <w:r>
        <w:rPr>
          <w:rFonts w:ascii="Arial" w:cs="Arial" w:eastAsia="Arial" w:hAnsi="Arial"/>
          <w:sz w:val="22"/>
          <w:szCs w:val="22"/>
        </w:rPr>
        <w:t xml:space="preserve">• פינטק וניאו-בנקים במוקד: מעל 90% מערך קנסות FCA בשנתיים האחרונות</w:t>
      </w:r>
    </w:p>
    <w:p>
      <w:pPr>
        <w:spacing w:after="120"/>
        <w:jc w:val="right"/>
      </w:pPr>
      <w:r>
        <w:rPr>
          <w:rFonts w:ascii="Arial" w:cs="Arial" w:eastAsia="Arial" w:hAnsi="Arial"/>
          <w:sz w:val="22"/>
          <w:szCs w:val="22"/>
        </w:rPr>
        <w:t xml:space="preserve">• קריפטו תחת לחץ: OKX, Binance, KuCoin עם קנסות מאסיביים</w:t>
      </w:r>
    </w:p>
    <w:p>
      <w:pPr>
        <w:spacing w:after="120"/>
        <w:jc w:val="right"/>
      </w:pPr>
      <w:r>
        <w:rPr>
          <w:rFonts w:ascii="Arial" w:cs="Arial" w:eastAsia="Arial" w:hAnsi="Arial"/>
          <w:sz w:val="22"/>
          <w:szCs w:val="22"/>
        </w:rPr>
        <w:t xml:space="preserve">• אחריות אישית: מגמה גוברת להטלת אחריות על מנהלים וקציני ציות</w:t>
      </w:r>
    </w:p>
    <w:p>
      <w:pPr>
        <w:spacing w:after="120"/>
        <w:jc w:val="right"/>
      </w:pPr>
      <w:r>
        <w:rPr>
          <w:rFonts w:ascii="Arial" w:cs="Arial" w:eastAsia="Arial" w:hAnsi="Arial"/>
          <w:sz w:val="22"/>
          <w:szCs w:val="22"/>
        </w:rPr>
        <w:t xml:space="preserve">• EU AMLA: הרשות החדשה למניעת הלבנת הון באיחוד תפקח ישירות על ~40 מוסדות בסיכון גבוה</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360"/>
      <w:jc w:val="center"/>
    </w:pPr>
    <w:rPr>
      <w:rFonts w:ascii="Arial" w:cs="Arial" w:eastAsia="Arial" w:hAnsi="Arial"/>
      <w:b/>
      <w:bCs/>
      <w:color w:val="1F4E79"/>
      <w:sz w:val="48"/>
      <w:szCs w:val="48"/>
    </w:rPr>
  </w:style>
  <w:style w:type="paragraph" w:styleId="Heading1">
    <w:name w:val="Heading 1"/>
    <w:basedOn w:val="Normal"/>
    <w:pPr>
      <w:spacing w:before="360" w:after="12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2025-12-12T19:01:33.389Z</dcterms:created>
  <dcterms:modified xsi:type="dcterms:W3CDTF">2025-12-12T19:01:33.390Z</dcterms:modified>
</cp:coreProperties>
</file>

<file path=docProps/custom.xml><?xml version="1.0" encoding="utf-8"?>
<Properties xmlns="http://schemas.openxmlformats.org/officeDocument/2006/custom-properties" xmlns:vt="http://schemas.openxmlformats.org/officeDocument/2006/docPropsVTypes"/>
</file>