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4C0B" w:rsidRPr="00117664" w:rsidRDefault="00747955" w:rsidP="006032A4">
      <w:pPr>
        <w:spacing w:line="360" w:lineRule="auto"/>
        <w:jc w:val="center"/>
        <w:rPr>
          <w:rFonts w:ascii="David" w:hAnsi="David" w:cs="David"/>
          <w:b/>
          <w:bCs/>
          <w:sz w:val="28"/>
          <w:szCs w:val="28"/>
          <w:u w:val="single"/>
          <w:rtl/>
        </w:rPr>
      </w:pPr>
      <w:r w:rsidRPr="00117664">
        <w:rPr>
          <w:rFonts w:ascii="David" w:hAnsi="David" w:cs="David"/>
          <w:b/>
          <w:bCs/>
          <w:sz w:val="28"/>
          <w:szCs w:val="28"/>
          <w:u w:val="single"/>
          <w:rtl/>
        </w:rPr>
        <w:t xml:space="preserve">החלטת </w:t>
      </w:r>
      <w:r w:rsidRPr="00117664">
        <w:rPr>
          <w:rFonts w:ascii="David" w:hAnsi="David" w:cs="David" w:hint="eastAsia"/>
          <w:b/>
          <w:bCs/>
          <w:sz w:val="28"/>
          <w:szCs w:val="28"/>
          <w:u w:val="single"/>
          <w:rtl/>
        </w:rPr>
        <w:t>הו</w:t>
      </w:r>
      <w:r w:rsidRPr="00117664">
        <w:rPr>
          <w:rFonts w:ascii="David" w:hAnsi="David" w:cs="David"/>
          <w:b/>
          <w:bCs/>
          <w:sz w:val="28"/>
          <w:szCs w:val="28"/>
          <w:u w:val="single"/>
          <w:rtl/>
        </w:rPr>
        <w:t xml:space="preserve">ועדה להטלת עיצום כספי </w:t>
      </w:r>
      <w:r w:rsidRPr="00117664">
        <w:rPr>
          <w:rFonts w:ascii="David" w:hAnsi="David" w:cs="David" w:hint="eastAsia"/>
          <w:b/>
          <w:bCs/>
          <w:sz w:val="28"/>
          <w:szCs w:val="28"/>
          <w:u w:val="single"/>
          <w:rtl/>
        </w:rPr>
        <w:t>מכוח</w:t>
      </w:r>
      <w:r w:rsidRPr="00117664">
        <w:rPr>
          <w:rFonts w:ascii="David" w:hAnsi="David" w:cs="David"/>
          <w:b/>
          <w:bCs/>
          <w:sz w:val="28"/>
          <w:szCs w:val="28"/>
          <w:u w:val="single"/>
          <w:rtl/>
        </w:rPr>
        <w:t xml:space="preserve"> חוק איסור הלבנת הון, התש"ס-2000 מיום </w:t>
      </w:r>
      <w:r w:rsidR="006032A4">
        <w:rPr>
          <w:rFonts w:ascii="David" w:hAnsi="David" w:cs="David" w:hint="cs"/>
          <w:b/>
          <w:bCs/>
          <w:sz w:val="28"/>
          <w:szCs w:val="28"/>
          <w:u w:val="single"/>
          <w:rtl/>
        </w:rPr>
        <w:t>10.5.23</w:t>
      </w:r>
      <w:r w:rsidR="002B178A" w:rsidRPr="00117664">
        <w:rPr>
          <w:rFonts w:ascii="David" w:hAnsi="David" w:cs="David"/>
          <w:b/>
          <w:bCs/>
          <w:sz w:val="28"/>
          <w:szCs w:val="28"/>
          <w:u w:val="single"/>
          <w:rtl/>
        </w:rPr>
        <w:br/>
      </w:r>
      <w:r w:rsidRPr="00117664">
        <w:rPr>
          <w:rFonts w:ascii="David" w:hAnsi="David" w:cs="David"/>
          <w:b/>
          <w:bCs/>
          <w:sz w:val="28"/>
          <w:szCs w:val="28"/>
          <w:u w:val="single"/>
          <w:rtl/>
        </w:rPr>
        <w:t>בעניי</w:t>
      </w:r>
      <w:r w:rsidRPr="00117664">
        <w:rPr>
          <w:rFonts w:ascii="David" w:hAnsi="David" w:cs="David" w:hint="cs"/>
          <w:b/>
          <w:bCs/>
          <w:sz w:val="28"/>
          <w:szCs w:val="28"/>
          <w:u w:val="single"/>
          <w:rtl/>
        </w:rPr>
        <w:t>נ</w:t>
      </w:r>
      <w:r w:rsidR="00A7357E">
        <w:rPr>
          <w:rFonts w:ascii="David" w:hAnsi="David" w:cs="David" w:hint="cs"/>
          <w:b/>
          <w:bCs/>
          <w:sz w:val="28"/>
          <w:szCs w:val="28"/>
          <w:u w:val="single"/>
          <w:rtl/>
        </w:rPr>
        <w:t>ה</w:t>
      </w:r>
      <w:r w:rsidRPr="00117664">
        <w:rPr>
          <w:rFonts w:ascii="David" w:hAnsi="David" w:cs="David" w:hint="cs"/>
          <w:b/>
          <w:bCs/>
          <w:sz w:val="28"/>
          <w:szCs w:val="28"/>
          <w:u w:val="single"/>
          <w:rtl/>
        </w:rPr>
        <w:t xml:space="preserve"> של </w:t>
      </w:r>
      <w:r w:rsidR="00013DAE">
        <w:rPr>
          <w:rFonts w:ascii="David" w:hAnsi="David" w:cs="David" w:hint="cs"/>
          <w:b/>
          <w:bCs/>
          <w:sz w:val="28"/>
          <w:szCs w:val="28"/>
          <w:u w:val="single"/>
          <w:rtl/>
        </w:rPr>
        <w:t>מ. און ליין מימון וסחר בע"מ ח.פ 513913194</w:t>
      </w:r>
    </w:p>
    <w:p w:rsidR="00954C0B" w:rsidRPr="00117664" w:rsidRDefault="00747955" w:rsidP="00013DAE">
      <w:pPr>
        <w:pStyle w:val="a4"/>
        <w:numPr>
          <w:ilvl w:val="0"/>
          <w:numId w:val="1"/>
        </w:numPr>
        <w:spacing w:before="120" w:after="120" w:line="360" w:lineRule="auto"/>
        <w:ind w:left="368" w:hanging="284"/>
        <w:jc w:val="both"/>
        <w:rPr>
          <w:rFonts w:ascii="David" w:hAnsi="David" w:cs="David"/>
          <w:b/>
          <w:bCs/>
          <w:szCs w:val="24"/>
          <w:u w:val="single"/>
        </w:rPr>
      </w:pPr>
      <w:r w:rsidRPr="00117664">
        <w:rPr>
          <w:rFonts w:ascii="David" w:hAnsi="David" w:cs="David" w:hint="cs"/>
          <w:b/>
          <w:bCs/>
          <w:szCs w:val="24"/>
          <w:u w:val="single"/>
          <w:rtl/>
        </w:rPr>
        <w:t>המפר</w:t>
      </w:r>
      <w:r w:rsidR="006E7B58">
        <w:rPr>
          <w:rFonts w:ascii="David" w:hAnsi="David" w:cs="David" w:hint="cs"/>
          <w:b/>
          <w:bCs/>
          <w:szCs w:val="24"/>
          <w:u w:val="single"/>
          <w:rtl/>
        </w:rPr>
        <w:t>ה</w:t>
      </w:r>
      <w:r w:rsidRPr="00013DAE">
        <w:rPr>
          <w:rFonts w:ascii="David" w:hAnsi="David" w:cs="David"/>
          <w:b/>
          <w:bCs/>
          <w:szCs w:val="24"/>
          <w:rtl/>
        </w:rPr>
        <w:t>:</w:t>
      </w:r>
    </w:p>
    <w:p w:rsidR="00F872FC" w:rsidRPr="00117664" w:rsidRDefault="00747955" w:rsidP="00013DAE">
      <w:pPr>
        <w:spacing w:line="360" w:lineRule="auto"/>
        <w:jc w:val="both"/>
        <w:rPr>
          <w:rFonts w:ascii="David" w:hAnsi="David" w:cs="David"/>
          <w:sz w:val="24"/>
          <w:szCs w:val="24"/>
          <w:rtl/>
        </w:rPr>
      </w:pPr>
      <w:r>
        <w:rPr>
          <w:rFonts w:ascii="David" w:hAnsi="David" w:cs="David" w:hint="cs"/>
          <w:sz w:val="24"/>
          <w:szCs w:val="24"/>
          <w:rtl/>
        </w:rPr>
        <w:t>מ. און ליין מימון וסחר בע"מ</w:t>
      </w:r>
      <w:r w:rsidR="00482DC6">
        <w:rPr>
          <w:rFonts w:ascii="David" w:hAnsi="David" w:cs="David" w:hint="cs"/>
          <w:sz w:val="24"/>
          <w:szCs w:val="24"/>
          <w:rtl/>
        </w:rPr>
        <w:t xml:space="preserve">, ח.פ. </w:t>
      </w:r>
      <w:r>
        <w:rPr>
          <w:rFonts w:ascii="David" w:hAnsi="David" w:cs="David" w:hint="cs"/>
          <w:sz w:val="24"/>
          <w:szCs w:val="24"/>
          <w:rtl/>
        </w:rPr>
        <w:t>513913194</w:t>
      </w:r>
      <w:r w:rsidR="002E1D69">
        <w:rPr>
          <w:rFonts w:ascii="David" w:hAnsi="David" w:cs="David" w:hint="cs"/>
          <w:sz w:val="24"/>
          <w:szCs w:val="24"/>
          <w:rtl/>
        </w:rPr>
        <w:t xml:space="preserve"> </w:t>
      </w:r>
      <w:r w:rsidR="00954C0B" w:rsidRPr="00117664">
        <w:rPr>
          <w:rFonts w:ascii="David" w:hAnsi="David" w:cs="David" w:hint="cs"/>
          <w:sz w:val="24"/>
          <w:szCs w:val="24"/>
          <w:rtl/>
        </w:rPr>
        <w:t xml:space="preserve">(להלן בהתאמה </w:t>
      </w:r>
      <w:r w:rsidR="00954C0B" w:rsidRPr="00117664">
        <w:rPr>
          <w:rFonts w:ascii="David" w:hAnsi="David" w:cs="David"/>
          <w:sz w:val="24"/>
          <w:szCs w:val="24"/>
          <w:rtl/>
        </w:rPr>
        <w:t>–</w:t>
      </w:r>
      <w:r w:rsidR="00954C0B" w:rsidRPr="00117664">
        <w:rPr>
          <w:rFonts w:ascii="David" w:hAnsi="David" w:cs="David" w:hint="cs"/>
          <w:sz w:val="24"/>
          <w:szCs w:val="24"/>
          <w:rtl/>
        </w:rPr>
        <w:t xml:space="preserve"> </w:t>
      </w:r>
      <w:r>
        <w:rPr>
          <w:rFonts w:ascii="David" w:hAnsi="David" w:cs="David" w:hint="cs"/>
          <w:b/>
          <w:bCs/>
          <w:sz w:val="24"/>
          <w:szCs w:val="24"/>
          <w:rtl/>
        </w:rPr>
        <w:t>המפרה</w:t>
      </w:r>
      <w:r w:rsidR="00954C0B" w:rsidRPr="00117664">
        <w:rPr>
          <w:rFonts w:ascii="David" w:hAnsi="David" w:cs="David" w:hint="cs"/>
          <w:b/>
          <w:bCs/>
          <w:sz w:val="24"/>
          <w:szCs w:val="24"/>
          <w:rtl/>
        </w:rPr>
        <w:t xml:space="preserve"> </w:t>
      </w:r>
      <w:r w:rsidR="00954C0B" w:rsidRPr="00117664">
        <w:rPr>
          <w:rFonts w:ascii="David" w:hAnsi="David" w:cs="David" w:hint="cs"/>
          <w:sz w:val="24"/>
          <w:szCs w:val="24"/>
          <w:rtl/>
        </w:rPr>
        <w:t>או</w:t>
      </w:r>
      <w:r w:rsidR="00954C0B" w:rsidRPr="00117664">
        <w:rPr>
          <w:rFonts w:ascii="David" w:hAnsi="David" w:cs="David" w:hint="cs"/>
          <w:b/>
          <w:bCs/>
          <w:sz w:val="24"/>
          <w:szCs w:val="24"/>
          <w:rtl/>
        </w:rPr>
        <w:t xml:space="preserve"> </w:t>
      </w:r>
      <w:r w:rsidR="006E7B58">
        <w:rPr>
          <w:rFonts w:ascii="David" w:hAnsi="David" w:cs="David" w:hint="cs"/>
          <w:b/>
          <w:bCs/>
          <w:sz w:val="24"/>
          <w:szCs w:val="24"/>
          <w:rtl/>
        </w:rPr>
        <w:t>החברה</w:t>
      </w:r>
      <w:r w:rsidR="00954C0B" w:rsidRPr="00117664">
        <w:rPr>
          <w:rFonts w:ascii="David" w:hAnsi="David" w:cs="David" w:hint="cs"/>
          <w:sz w:val="24"/>
          <w:szCs w:val="24"/>
          <w:rtl/>
        </w:rPr>
        <w:t>)</w:t>
      </w:r>
      <w:r w:rsidR="002B178A" w:rsidRPr="00117664">
        <w:rPr>
          <w:rFonts w:ascii="David" w:hAnsi="David" w:cs="David" w:hint="cs"/>
          <w:sz w:val="24"/>
          <w:szCs w:val="24"/>
          <w:rtl/>
        </w:rPr>
        <w:t>.</w:t>
      </w:r>
    </w:p>
    <w:p w:rsidR="00954C0B" w:rsidRPr="00117664" w:rsidRDefault="00747955" w:rsidP="00013DAE">
      <w:pPr>
        <w:spacing w:line="360" w:lineRule="auto"/>
        <w:jc w:val="both"/>
        <w:rPr>
          <w:rFonts w:ascii="David" w:hAnsi="David" w:cs="David"/>
          <w:sz w:val="24"/>
          <w:szCs w:val="24"/>
          <w:rtl/>
        </w:rPr>
      </w:pPr>
      <w:r w:rsidRPr="00117664">
        <w:rPr>
          <w:rFonts w:ascii="David" w:hAnsi="David" w:cs="David" w:hint="cs"/>
          <w:sz w:val="24"/>
          <w:szCs w:val="24"/>
          <w:rtl/>
        </w:rPr>
        <w:t xml:space="preserve">באמצעות </w:t>
      </w:r>
      <w:r w:rsidR="00482DC6">
        <w:rPr>
          <w:rFonts w:ascii="David" w:hAnsi="David" w:cs="David" w:hint="cs"/>
          <w:sz w:val="24"/>
          <w:szCs w:val="24"/>
          <w:rtl/>
        </w:rPr>
        <w:t xml:space="preserve">משרד עו"ד </w:t>
      </w:r>
      <w:r w:rsidR="00013DAE">
        <w:rPr>
          <w:rFonts w:ascii="David" w:hAnsi="David" w:cs="David" w:hint="cs"/>
          <w:sz w:val="24"/>
          <w:szCs w:val="24"/>
          <w:rtl/>
        </w:rPr>
        <w:t>רונן רוזנבלום</w:t>
      </w:r>
      <w:r w:rsidR="001A17AC">
        <w:rPr>
          <w:rFonts w:ascii="David" w:hAnsi="David" w:cs="David" w:hint="cs"/>
          <w:sz w:val="24"/>
          <w:szCs w:val="24"/>
          <w:rtl/>
        </w:rPr>
        <w:t xml:space="preserve"> </w:t>
      </w:r>
      <w:r w:rsidRPr="00117664">
        <w:rPr>
          <w:rFonts w:ascii="David" w:hAnsi="David" w:cs="David" w:hint="cs"/>
          <w:sz w:val="24"/>
          <w:szCs w:val="24"/>
          <w:rtl/>
        </w:rPr>
        <w:t xml:space="preserve">(להלן - </w:t>
      </w:r>
      <w:r w:rsidRPr="00117664">
        <w:rPr>
          <w:rFonts w:ascii="David" w:hAnsi="David" w:cs="David" w:hint="cs"/>
          <w:b/>
          <w:bCs/>
          <w:sz w:val="24"/>
          <w:szCs w:val="24"/>
          <w:rtl/>
        </w:rPr>
        <w:t xml:space="preserve">ב"כ </w:t>
      </w:r>
      <w:r w:rsidR="00ED1125">
        <w:rPr>
          <w:rFonts w:ascii="David" w:hAnsi="David" w:cs="David" w:hint="cs"/>
          <w:b/>
          <w:bCs/>
          <w:sz w:val="24"/>
          <w:szCs w:val="24"/>
          <w:rtl/>
        </w:rPr>
        <w:t>החברה</w:t>
      </w:r>
      <w:r w:rsidRPr="00117664">
        <w:rPr>
          <w:rFonts w:ascii="David" w:hAnsi="David" w:cs="David" w:hint="cs"/>
          <w:sz w:val="24"/>
          <w:szCs w:val="24"/>
          <w:rtl/>
        </w:rPr>
        <w:t>).</w:t>
      </w:r>
    </w:p>
    <w:p w:rsidR="00954C0B" w:rsidRPr="00C70B1A" w:rsidRDefault="00747955" w:rsidP="00C70B1A">
      <w:pPr>
        <w:pStyle w:val="a4"/>
        <w:numPr>
          <w:ilvl w:val="0"/>
          <w:numId w:val="1"/>
        </w:numPr>
        <w:spacing w:before="120" w:after="120" w:line="360" w:lineRule="auto"/>
        <w:ind w:left="368" w:hanging="284"/>
        <w:jc w:val="both"/>
        <w:rPr>
          <w:rFonts w:ascii="David" w:hAnsi="David" w:cs="David"/>
          <w:b/>
          <w:bCs/>
          <w:szCs w:val="24"/>
          <w:u w:val="single"/>
        </w:rPr>
      </w:pPr>
      <w:r w:rsidRPr="00117664">
        <w:rPr>
          <w:rFonts w:ascii="David" w:hAnsi="David" w:cs="David"/>
          <w:b/>
          <w:bCs/>
          <w:szCs w:val="24"/>
          <w:u w:val="single"/>
          <w:rtl/>
        </w:rPr>
        <w:t>חברי הוועדה</w:t>
      </w:r>
      <w:r w:rsidRPr="00013DAE">
        <w:rPr>
          <w:rFonts w:ascii="David" w:hAnsi="David" w:cs="David"/>
          <w:b/>
          <w:bCs/>
          <w:szCs w:val="24"/>
        </w:rPr>
        <w:t>:</w:t>
      </w:r>
    </w:p>
    <w:p w:rsidR="00E71F8E" w:rsidRPr="00C70B1A" w:rsidRDefault="00747955" w:rsidP="00A670F2">
      <w:pPr>
        <w:spacing w:line="360" w:lineRule="auto"/>
        <w:rPr>
          <w:rFonts w:ascii="David" w:hAnsi="David" w:cs="David"/>
          <w:sz w:val="24"/>
          <w:szCs w:val="24"/>
          <w:rtl/>
        </w:rPr>
      </w:pPr>
      <w:r w:rsidRPr="00C70B1A">
        <w:rPr>
          <w:rFonts w:ascii="David" w:hAnsi="David" w:cs="David"/>
          <w:sz w:val="24"/>
          <w:szCs w:val="24"/>
          <w:rtl/>
        </w:rPr>
        <w:t xml:space="preserve">מר עמית גל, הממונה על שוק ההון, ביטוח וחיסכון (בפועל) – יו"ר </w:t>
      </w:r>
      <w:r w:rsidR="00AF58CE">
        <w:rPr>
          <w:rFonts w:ascii="David" w:hAnsi="David" w:cs="David" w:hint="cs"/>
          <w:sz w:val="24"/>
          <w:szCs w:val="24"/>
          <w:rtl/>
        </w:rPr>
        <w:t>הוועדה</w:t>
      </w:r>
    </w:p>
    <w:p w:rsidR="005B2892" w:rsidRDefault="00747955" w:rsidP="00AF58CE">
      <w:pPr>
        <w:spacing w:line="360" w:lineRule="auto"/>
        <w:jc w:val="both"/>
        <w:rPr>
          <w:rFonts w:ascii="David" w:hAnsi="David" w:cs="David"/>
          <w:sz w:val="24"/>
          <w:szCs w:val="24"/>
          <w:rtl/>
        </w:rPr>
      </w:pPr>
      <w:r w:rsidRPr="00C70B1A">
        <w:rPr>
          <w:rFonts w:ascii="David" w:hAnsi="David" w:cs="David"/>
          <w:sz w:val="24"/>
          <w:szCs w:val="24"/>
          <w:rtl/>
        </w:rPr>
        <w:t xml:space="preserve">מר אסף נחמני, </w:t>
      </w:r>
      <w:r w:rsidR="00AF58CE">
        <w:rPr>
          <w:rFonts w:ascii="David" w:hAnsi="David" w:cs="David" w:hint="cs"/>
          <w:sz w:val="24"/>
          <w:szCs w:val="24"/>
          <w:rtl/>
        </w:rPr>
        <w:t>מנהל חטיבת השקעות ורישוי</w:t>
      </w:r>
      <w:r w:rsidR="00DA2FE9">
        <w:rPr>
          <w:rFonts w:ascii="David" w:hAnsi="David" w:cs="David" w:hint="cs"/>
          <w:sz w:val="24"/>
          <w:szCs w:val="24"/>
          <w:rtl/>
        </w:rPr>
        <w:t>, רשות שוק ההון, ביטוח וחיסכון</w:t>
      </w:r>
      <w:r w:rsidRPr="00C70B1A">
        <w:rPr>
          <w:rFonts w:ascii="David" w:hAnsi="David" w:cs="David"/>
          <w:sz w:val="24"/>
          <w:szCs w:val="24"/>
          <w:rtl/>
        </w:rPr>
        <w:t xml:space="preserve"> – חבר</w:t>
      </w:r>
      <w:r w:rsidR="00AF58CE">
        <w:rPr>
          <w:rFonts w:ascii="David" w:hAnsi="David" w:cs="David" w:hint="cs"/>
          <w:sz w:val="24"/>
          <w:szCs w:val="24"/>
          <w:rtl/>
        </w:rPr>
        <w:t xml:space="preserve"> הוועדה</w:t>
      </w:r>
    </w:p>
    <w:p w:rsidR="00013DAE" w:rsidRPr="00C70B1A" w:rsidRDefault="00747955" w:rsidP="00A670F2">
      <w:pPr>
        <w:spacing w:line="360" w:lineRule="auto"/>
        <w:rPr>
          <w:rFonts w:ascii="David" w:hAnsi="David" w:cs="David"/>
          <w:sz w:val="24"/>
          <w:szCs w:val="24"/>
          <w:rtl/>
        </w:rPr>
      </w:pPr>
      <w:r>
        <w:rPr>
          <w:rFonts w:ascii="David" w:hAnsi="David" w:cs="David" w:hint="cs"/>
          <w:sz w:val="24"/>
          <w:szCs w:val="24"/>
          <w:rtl/>
        </w:rPr>
        <w:t xml:space="preserve">עו"ד מאיה </w:t>
      </w:r>
      <w:proofErr w:type="spellStart"/>
      <w:r>
        <w:rPr>
          <w:rFonts w:ascii="David" w:hAnsi="David" w:cs="David" w:hint="cs"/>
          <w:sz w:val="24"/>
          <w:szCs w:val="24"/>
          <w:rtl/>
        </w:rPr>
        <w:t>לדרמן</w:t>
      </w:r>
      <w:proofErr w:type="spellEnd"/>
      <w:r w:rsidRPr="00C70B1A">
        <w:rPr>
          <w:rFonts w:ascii="David" w:hAnsi="David" w:cs="David"/>
          <w:sz w:val="24"/>
          <w:szCs w:val="24"/>
          <w:rtl/>
        </w:rPr>
        <w:t xml:space="preserve">, </w:t>
      </w:r>
      <w:r w:rsidR="00A670F2">
        <w:rPr>
          <w:rFonts w:ascii="David" w:hAnsi="David" w:cs="David" w:hint="cs"/>
          <w:sz w:val="24"/>
          <w:szCs w:val="24"/>
          <w:rtl/>
        </w:rPr>
        <w:t>יועצת משפטית,</w:t>
      </w:r>
      <w:r w:rsidR="00A670F2" w:rsidRPr="00C70B1A">
        <w:rPr>
          <w:rFonts w:ascii="David" w:hAnsi="David" w:cs="David"/>
          <w:sz w:val="24"/>
          <w:szCs w:val="24"/>
          <w:rtl/>
        </w:rPr>
        <w:t xml:space="preserve"> </w:t>
      </w:r>
      <w:r w:rsidRPr="00C70B1A">
        <w:rPr>
          <w:rFonts w:ascii="David" w:hAnsi="David" w:cs="David"/>
          <w:sz w:val="24"/>
          <w:szCs w:val="24"/>
          <w:rtl/>
        </w:rPr>
        <w:t>הרשות לאיסור הלבנת הון ומימון טרור – חבר</w:t>
      </w:r>
      <w:r>
        <w:rPr>
          <w:rFonts w:ascii="David" w:hAnsi="David" w:cs="David" w:hint="cs"/>
          <w:sz w:val="24"/>
          <w:szCs w:val="24"/>
          <w:rtl/>
        </w:rPr>
        <w:t>ת הוועדה</w:t>
      </w:r>
      <w:r w:rsidRPr="00C70B1A">
        <w:rPr>
          <w:rFonts w:ascii="David" w:hAnsi="David" w:cs="David"/>
          <w:sz w:val="24"/>
          <w:szCs w:val="24"/>
          <w:rtl/>
        </w:rPr>
        <w:t xml:space="preserve"> </w:t>
      </w:r>
    </w:p>
    <w:p w:rsidR="00752F27" w:rsidRPr="00752F27" w:rsidRDefault="00747955" w:rsidP="00752F27">
      <w:pPr>
        <w:pStyle w:val="a4"/>
        <w:numPr>
          <w:ilvl w:val="0"/>
          <w:numId w:val="1"/>
        </w:numPr>
        <w:spacing w:before="120" w:after="120" w:line="360" w:lineRule="auto"/>
        <w:ind w:left="368" w:hanging="284"/>
        <w:jc w:val="both"/>
        <w:rPr>
          <w:rFonts w:ascii="David" w:hAnsi="David" w:cs="David"/>
          <w:b/>
          <w:bCs/>
          <w:szCs w:val="24"/>
          <w:u w:val="single"/>
          <w:rtl/>
        </w:rPr>
      </w:pPr>
      <w:r w:rsidRPr="00C70B1A">
        <w:rPr>
          <w:rFonts w:ascii="David" w:hAnsi="David" w:cs="David" w:hint="eastAsia"/>
          <w:b/>
          <w:bCs/>
          <w:szCs w:val="24"/>
          <w:u w:val="single"/>
          <w:rtl/>
        </w:rPr>
        <w:t>תיאור</w:t>
      </w:r>
      <w:r w:rsidRPr="00C70B1A">
        <w:rPr>
          <w:rFonts w:ascii="David" w:hAnsi="David" w:cs="David"/>
          <w:b/>
          <w:bCs/>
          <w:szCs w:val="24"/>
          <w:u w:val="single"/>
          <w:rtl/>
        </w:rPr>
        <w:t xml:space="preserve"> </w:t>
      </w:r>
      <w:r w:rsidRPr="00C70B1A">
        <w:rPr>
          <w:rFonts w:ascii="David" w:hAnsi="David" w:cs="David" w:hint="eastAsia"/>
          <w:b/>
          <w:bCs/>
          <w:szCs w:val="24"/>
          <w:u w:val="single"/>
          <w:rtl/>
        </w:rPr>
        <w:t>הנסיבות</w:t>
      </w:r>
      <w:r w:rsidRPr="00013DAE">
        <w:rPr>
          <w:rFonts w:ascii="David" w:hAnsi="David" w:cs="David"/>
          <w:b/>
          <w:bCs/>
          <w:szCs w:val="24"/>
          <w:rtl/>
        </w:rPr>
        <w:t>:</w:t>
      </w:r>
    </w:p>
    <w:p w:rsidR="009E2292" w:rsidRDefault="00747955" w:rsidP="000B25BD">
      <w:pPr>
        <w:spacing w:line="360" w:lineRule="auto"/>
        <w:jc w:val="both"/>
        <w:rPr>
          <w:rFonts w:ascii="David" w:hAnsi="David" w:cs="David"/>
          <w:sz w:val="24"/>
          <w:szCs w:val="24"/>
          <w:rtl/>
        </w:rPr>
      </w:pPr>
      <w:r w:rsidRPr="00117664">
        <w:rPr>
          <w:rFonts w:ascii="David" w:hAnsi="David" w:cs="David" w:hint="cs"/>
          <w:sz w:val="24"/>
          <w:szCs w:val="24"/>
          <w:rtl/>
        </w:rPr>
        <w:t>המפר</w:t>
      </w:r>
      <w:r w:rsidR="00E46D7E">
        <w:rPr>
          <w:rFonts w:ascii="David" w:hAnsi="David" w:cs="David" w:hint="cs"/>
          <w:sz w:val="24"/>
          <w:szCs w:val="24"/>
          <w:rtl/>
        </w:rPr>
        <w:t>ה</w:t>
      </w:r>
      <w:r w:rsidRPr="00117664">
        <w:rPr>
          <w:rFonts w:ascii="David" w:hAnsi="David" w:cs="David" w:hint="cs"/>
          <w:sz w:val="24"/>
          <w:szCs w:val="24"/>
          <w:rtl/>
        </w:rPr>
        <w:t xml:space="preserve"> </w:t>
      </w:r>
      <w:r w:rsidR="00E46D7E">
        <w:rPr>
          <w:rFonts w:ascii="David" w:hAnsi="David" w:cs="David" w:hint="cs"/>
          <w:sz w:val="24"/>
          <w:szCs w:val="24"/>
          <w:rtl/>
        </w:rPr>
        <w:t>היא חברה</w:t>
      </w:r>
      <w:r w:rsidR="00482DC6">
        <w:rPr>
          <w:rFonts w:ascii="David" w:hAnsi="David" w:cs="David" w:hint="cs"/>
          <w:sz w:val="24"/>
          <w:szCs w:val="24"/>
          <w:rtl/>
        </w:rPr>
        <w:t xml:space="preserve"> </w:t>
      </w:r>
      <w:r w:rsidR="00752F27">
        <w:rPr>
          <w:rFonts w:ascii="David" w:hAnsi="David" w:cs="David" w:hint="cs"/>
          <w:sz w:val="24"/>
          <w:szCs w:val="24"/>
          <w:rtl/>
        </w:rPr>
        <w:t>שעסקה ב</w:t>
      </w:r>
      <w:r w:rsidR="0015365C">
        <w:rPr>
          <w:rFonts w:ascii="David" w:hAnsi="David" w:cs="David" w:hint="cs"/>
          <w:sz w:val="24"/>
          <w:szCs w:val="24"/>
          <w:rtl/>
        </w:rPr>
        <w:t xml:space="preserve">מתן אשראי מכוח הוראת מעבר </w:t>
      </w:r>
      <w:r>
        <w:rPr>
          <w:rFonts w:ascii="David" w:hAnsi="David" w:cs="David" w:hint="cs"/>
          <w:sz w:val="24"/>
          <w:szCs w:val="24"/>
          <w:rtl/>
        </w:rPr>
        <w:t>שבסעיף 115 לחוק הפיקוח על שירותים פיננסיים (שירותים פיננסיים מוסדרים), התשע"ו-2016</w:t>
      </w:r>
      <w:r w:rsidRPr="00117664">
        <w:rPr>
          <w:rFonts w:ascii="David" w:hAnsi="David" w:cs="David" w:hint="cs"/>
          <w:sz w:val="24"/>
          <w:szCs w:val="24"/>
          <w:rtl/>
        </w:rPr>
        <w:t>.</w:t>
      </w:r>
      <w:r>
        <w:rPr>
          <w:rFonts w:ascii="David" w:hAnsi="David" w:cs="David" w:hint="cs"/>
          <w:sz w:val="24"/>
          <w:szCs w:val="24"/>
          <w:rtl/>
        </w:rPr>
        <w:t xml:space="preserve"> ביום 15.6.21 נדחתה בקשת החברה לקבל רישיון בסיסי למתן אשראי וממועד זה נדרשה החברה לחדול מכל פעילות של מתן אשראי חדש.</w:t>
      </w:r>
      <w:r w:rsidR="00A7649B">
        <w:rPr>
          <w:rFonts w:ascii="David" w:hAnsi="David" w:cs="David" w:hint="cs"/>
          <w:sz w:val="24"/>
          <w:szCs w:val="24"/>
          <w:rtl/>
        </w:rPr>
        <w:t xml:space="preserve"> במסגרת החלטת הדחייה, ניתנו לחברה 60 ימים ממועד מתן ההחלטה לצורך חיסול עסקיה, כלומר, עד ליום 14.8.</w:t>
      </w:r>
      <w:r w:rsidR="000B25BD">
        <w:rPr>
          <w:rFonts w:ascii="David" w:hAnsi="David" w:cs="David" w:hint="cs"/>
          <w:sz w:val="24"/>
          <w:szCs w:val="24"/>
          <w:rtl/>
        </w:rPr>
        <w:t>21</w:t>
      </w:r>
      <w:r w:rsidR="00A7649B">
        <w:rPr>
          <w:rFonts w:ascii="David" w:hAnsi="David" w:cs="David" w:hint="cs"/>
          <w:sz w:val="24"/>
          <w:szCs w:val="24"/>
          <w:rtl/>
        </w:rPr>
        <w:t>.</w:t>
      </w:r>
    </w:p>
    <w:p w:rsidR="002A31EB" w:rsidRDefault="00747955" w:rsidP="00D55F6F">
      <w:pPr>
        <w:spacing w:line="360" w:lineRule="auto"/>
        <w:jc w:val="both"/>
        <w:rPr>
          <w:rFonts w:ascii="David" w:hAnsi="David" w:cs="David"/>
          <w:sz w:val="24"/>
          <w:szCs w:val="24"/>
          <w:rtl/>
        </w:rPr>
      </w:pPr>
      <w:r>
        <w:rPr>
          <w:rFonts w:ascii="David" w:hAnsi="David" w:cs="David" w:hint="cs"/>
          <w:sz w:val="24"/>
          <w:szCs w:val="24"/>
          <w:rtl/>
        </w:rPr>
        <w:t>ביום 13.2.23 הועברה לרשות שוק ההון, ביטוח וחיסכון (להלן: "</w:t>
      </w:r>
      <w:r w:rsidRPr="002A31EB">
        <w:rPr>
          <w:rFonts w:ascii="David" w:hAnsi="David" w:cs="David" w:hint="cs"/>
          <w:b/>
          <w:bCs/>
          <w:sz w:val="24"/>
          <w:szCs w:val="24"/>
          <w:rtl/>
        </w:rPr>
        <w:t>הרשות</w:t>
      </w:r>
      <w:r>
        <w:rPr>
          <w:rFonts w:ascii="David" w:hAnsi="David" w:cs="David" w:hint="cs"/>
          <w:sz w:val="24"/>
          <w:szCs w:val="24"/>
          <w:rtl/>
        </w:rPr>
        <w:t xml:space="preserve">") הודעה מפרקליטות מחוז מרכז, לפיה בסיום הליך שימוע שקיימה הפרקליטות לחברה, הושגה הסכמה בינה לבין החברה לפיה החברה תודה בעובדות מוסכמות ואלו יועברו לוועדה להטלת עיצום כספי ברשות יחד עם המלצה להטיל על החברה עיצום כספי בסך 100,000 ₪, המבטא לעמדת הפרקליטות סנקציה הולמת בנסיבות העניין. יחד עם זאת, בהודעה הודגש כי שיקול הדעת בהטלת עיצום וכן שיקול הדעת לעניין גובה העיצום נתון לוועדת העיצומים בלבד. </w:t>
      </w:r>
      <w:r w:rsidR="00D55F6F">
        <w:rPr>
          <w:rFonts w:ascii="David" w:hAnsi="David" w:cs="David" w:hint="cs"/>
          <w:sz w:val="24"/>
          <w:szCs w:val="24"/>
          <w:rtl/>
        </w:rPr>
        <w:t xml:space="preserve">עוד צוין בהודעה כי ככל שהוועדה תחליט להטיל על החברה עיצום כספי, לא תגיש </w:t>
      </w:r>
      <w:r w:rsidR="000B25BD">
        <w:rPr>
          <w:rFonts w:ascii="David" w:hAnsi="David" w:cs="David" w:hint="cs"/>
          <w:sz w:val="24"/>
          <w:szCs w:val="24"/>
          <w:rtl/>
        </w:rPr>
        <w:t xml:space="preserve">הפרקליטות </w:t>
      </w:r>
      <w:r w:rsidR="00D55F6F">
        <w:rPr>
          <w:rFonts w:ascii="David" w:hAnsi="David" w:cs="David" w:hint="cs"/>
          <w:sz w:val="24"/>
          <w:szCs w:val="24"/>
          <w:rtl/>
        </w:rPr>
        <w:t xml:space="preserve">כתב אישום נגד החברה. </w:t>
      </w:r>
      <w:r>
        <w:rPr>
          <w:rFonts w:ascii="David" w:hAnsi="David" w:cs="David" w:hint="cs"/>
          <w:sz w:val="24"/>
          <w:szCs w:val="24"/>
          <w:rtl/>
        </w:rPr>
        <w:t>להודעה צורף מסמך הכולל את העובדות המוסכמות כאמור</w:t>
      </w:r>
      <w:r w:rsidR="006032A4">
        <w:rPr>
          <w:rFonts w:ascii="David" w:hAnsi="David" w:cs="David" w:hint="cs"/>
          <w:sz w:val="24"/>
          <w:szCs w:val="24"/>
          <w:rtl/>
        </w:rPr>
        <w:t xml:space="preserve"> (להלן: "</w:t>
      </w:r>
      <w:r w:rsidR="006032A4" w:rsidRPr="006032A4">
        <w:rPr>
          <w:rFonts w:ascii="David" w:hAnsi="David" w:cs="David" w:hint="cs"/>
          <w:b/>
          <w:bCs/>
          <w:sz w:val="24"/>
          <w:szCs w:val="24"/>
          <w:rtl/>
        </w:rPr>
        <w:t>ההודעה המוסכמת</w:t>
      </w:r>
      <w:r w:rsidR="006032A4">
        <w:rPr>
          <w:rFonts w:ascii="David" w:hAnsi="David" w:cs="David" w:hint="cs"/>
          <w:sz w:val="24"/>
          <w:szCs w:val="24"/>
          <w:rtl/>
        </w:rPr>
        <w:t>")</w:t>
      </w:r>
      <w:r>
        <w:rPr>
          <w:rFonts w:ascii="David" w:hAnsi="David" w:cs="David" w:hint="cs"/>
          <w:sz w:val="24"/>
          <w:szCs w:val="24"/>
          <w:rtl/>
        </w:rPr>
        <w:t>.</w:t>
      </w:r>
    </w:p>
    <w:p w:rsidR="006032A4" w:rsidRDefault="00747955" w:rsidP="00E868B1">
      <w:pPr>
        <w:spacing w:line="360" w:lineRule="auto"/>
        <w:jc w:val="both"/>
        <w:rPr>
          <w:rFonts w:ascii="David" w:hAnsi="David" w:cs="David"/>
          <w:sz w:val="24"/>
          <w:szCs w:val="24"/>
          <w:rtl/>
        </w:rPr>
      </w:pPr>
      <w:r>
        <w:rPr>
          <w:rFonts w:ascii="David" w:hAnsi="David" w:cs="David" w:hint="cs"/>
          <w:sz w:val="24"/>
          <w:szCs w:val="24"/>
          <w:rtl/>
        </w:rPr>
        <w:t>ביום 5.3.23 זומנה החברה לדיון בוועדה להטלת עיצום כספי וביום 28.3.23 העבירה לרשות מסמך עם עיקרי טענותיה. ביום 10.5.23 התקיים דיון בוועדה להטלת עיצום כספי בנוכחות ב"כ החברה.</w:t>
      </w:r>
    </w:p>
    <w:p w:rsidR="00954C0B" w:rsidRPr="00C70B1A" w:rsidRDefault="00747955" w:rsidP="00C70B1A">
      <w:pPr>
        <w:pStyle w:val="a4"/>
        <w:numPr>
          <w:ilvl w:val="0"/>
          <w:numId w:val="1"/>
        </w:numPr>
        <w:spacing w:before="120" w:after="120" w:line="360" w:lineRule="auto"/>
        <w:ind w:left="368" w:hanging="284"/>
        <w:jc w:val="both"/>
        <w:rPr>
          <w:rFonts w:ascii="David" w:hAnsi="David" w:cs="David"/>
          <w:b/>
          <w:bCs/>
          <w:szCs w:val="24"/>
          <w:u w:val="single"/>
          <w:rtl/>
        </w:rPr>
      </w:pPr>
      <w:r>
        <w:rPr>
          <w:rFonts w:ascii="David" w:hAnsi="David" w:cs="David" w:hint="cs"/>
          <w:b/>
          <w:bCs/>
          <w:szCs w:val="24"/>
          <w:u w:val="single"/>
          <w:rtl/>
        </w:rPr>
        <w:t>העובדות המוסכמות</w:t>
      </w:r>
      <w:r w:rsidRPr="000C7A84">
        <w:rPr>
          <w:rFonts w:ascii="David" w:hAnsi="David" w:cs="David" w:hint="cs"/>
          <w:b/>
          <w:bCs/>
          <w:szCs w:val="24"/>
          <w:rtl/>
        </w:rPr>
        <w:t>:</w:t>
      </w:r>
    </w:p>
    <w:p w:rsidR="006A37C7" w:rsidRDefault="00747955" w:rsidP="006032A4">
      <w:pPr>
        <w:spacing w:line="360" w:lineRule="auto"/>
        <w:jc w:val="both"/>
        <w:rPr>
          <w:rFonts w:ascii="David" w:hAnsi="David" w:cs="David"/>
          <w:sz w:val="24"/>
          <w:szCs w:val="24"/>
          <w:rtl/>
        </w:rPr>
      </w:pPr>
      <w:r w:rsidRPr="00E868B1">
        <w:rPr>
          <w:rFonts w:ascii="David" w:hAnsi="David" w:cs="David"/>
          <w:sz w:val="24"/>
          <w:szCs w:val="24"/>
          <w:u w:val="single"/>
          <w:rtl/>
        </w:rPr>
        <w:t xml:space="preserve">להלן </w:t>
      </w:r>
      <w:r w:rsidR="006032A4" w:rsidRPr="00E868B1">
        <w:rPr>
          <w:rFonts w:ascii="David" w:hAnsi="David" w:cs="David" w:hint="cs"/>
          <w:sz w:val="24"/>
          <w:szCs w:val="24"/>
          <w:u w:val="single"/>
          <w:rtl/>
        </w:rPr>
        <w:t>פירוט</w:t>
      </w:r>
      <w:r w:rsidRPr="00E868B1">
        <w:rPr>
          <w:rFonts w:ascii="David" w:hAnsi="David" w:cs="David"/>
          <w:sz w:val="24"/>
          <w:szCs w:val="24"/>
          <w:u w:val="single"/>
          <w:rtl/>
        </w:rPr>
        <w:t xml:space="preserve"> </w:t>
      </w:r>
      <w:r w:rsidR="006032A4" w:rsidRPr="00E868B1">
        <w:rPr>
          <w:rFonts w:ascii="David" w:hAnsi="David" w:cs="David" w:hint="cs"/>
          <w:sz w:val="24"/>
          <w:szCs w:val="24"/>
          <w:u w:val="single"/>
          <w:rtl/>
        </w:rPr>
        <w:t>העובדות המוסכמות, כפי שהן מופיעות בהודעה המוסכמת</w:t>
      </w:r>
      <w:r w:rsidRPr="009F6C6D">
        <w:rPr>
          <w:rFonts w:ascii="David" w:hAnsi="David" w:cs="David"/>
          <w:sz w:val="24"/>
          <w:szCs w:val="24"/>
          <w:rtl/>
        </w:rPr>
        <w:t xml:space="preserve">: </w:t>
      </w:r>
    </w:p>
    <w:p w:rsidR="00213266" w:rsidRDefault="00213266" w:rsidP="00180413">
      <w:pPr>
        <w:spacing w:line="360" w:lineRule="auto"/>
        <w:ind w:left="360"/>
        <w:rPr>
          <w:rFonts w:ascii="David" w:hAnsi="David" w:cs="David"/>
          <w:sz w:val="24"/>
          <w:szCs w:val="24"/>
          <w:rtl/>
        </w:rPr>
      </w:pPr>
    </w:p>
    <w:p w:rsidR="00E868B1" w:rsidRPr="006032A4" w:rsidRDefault="00747955" w:rsidP="00E868B1">
      <w:pPr>
        <w:spacing w:line="360" w:lineRule="auto"/>
        <w:jc w:val="both"/>
        <w:rPr>
          <w:rFonts w:ascii="David" w:hAnsi="David" w:cs="David"/>
          <w:sz w:val="24"/>
          <w:szCs w:val="24"/>
        </w:rPr>
      </w:pPr>
      <w:r w:rsidRPr="006032A4">
        <w:rPr>
          <w:rFonts w:ascii="David" w:hAnsi="David" w:cs="David" w:hint="cs"/>
          <w:sz w:val="24"/>
          <w:szCs w:val="24"/>
          <w:rtl/>
        </w:rPr>
        <w:t xml:space="preserve">במהלך התקופה </w:t>
      </w:r>
      <w:r>
        <w:rPr>
          <w:rFonts w:ascii="David" w:hAnsi="David" w:cs="David" w:hint="cs"/>
          <w:sz w:val="24"/>
          <w:szCs w:val="24"/>
          <w:rtl/>
        </w:rPr>
        <w:t>בין ספטמבר 2020 ועד ליום 14.12.21 המפרה לא דיווחה לרשות לאיסור הלבנת הון על 20 עסקאות ניכיון, אשר כל אחת מהן מעל 50,000 ₪ וזאת בניגוד לסעיף 11 בצו איסור הלבנת הון (חובות זיהוי, דיווח וניהול רישומים של נותני שירות בנכס פיננסי ונותני שירותי אשראי למניעת הלבנת הון ומימון טרור), תשע"ח-</w:t>
      </w:r>
      <w:r w:rsidR="00CF0945">
        <w:rPr>
          <w:rFonts w:ascii="David" w:hAnsi="David" w:cs="David" w:hint="cs"/>
          <w:sz w:val="24"/>
          <w:szCs w:val="24"/>
          <w:rtl/>
        </w:rPr>
        <w:t xml:space="preserve"> </w:t>
      </w:r>
      <w:r>
        <w:rPr>
          <w:rFonts w:ascii="David" w:hAnsi="David" w:cs="David" w:hint="cs"/>
          <w:sz w:val="24"/>
          <w:szCs w:val="24"/>
          <w:rtl/>
        </w:rPr>
        <w:t>2018</w:t>
      </w:r>
      <w:r w:rsidR="00CF0945">
        <w:rPr>
          <w:rFonts w:ascii="David" w:hAnsi="David" w:cs="David" w:hint="cs"/>
          <w:sz w:val="24"/>
          <w:szCs w:val="24"/>
          <w:rtl/>
        </w:rPr>
        <w:t xml:space="preserve"> (להלן: "</w:t>
      </w:r>
      <w:r w:rsidR="00CF0945" w:rsidRPr="00CF0945">
        <w:rPr>
          <w:rFonts w:ascii="David" w:hAnsi="David" w:cs="David" w:hint="cs"/>
          <w:b/>
          <w:bCs/>
          <w:sz w:val="24"/>
          <w:szCs w:val="24"/>
          <w:rtl/>
        </w:rPr>
        <w:t>הצו</w:t>
      </w:r>
      <w:r w:rsidR="00CF0945">
        <w:rPr>
          <w:rFonts w:ascii="David" w:hAnsi="David" w:cs="David" w:hint="cs"/>
          <w:sz w:val="24"/>
          <w:szCs w:val="24"/>
          <w:rtl/>
        </w:rPr>
        <w:t>")</w:t>
      </w:r>
      <w:r>
        <w:rPr>
          <w:rFonts w:ascii="David" w:hAnsi="David" w:cs="David" w:hint="cs"/>
          <w:sz w:val="24"/>
          <w:szCs w:val="24"/>
          <w:rtl/>
        </w:rPr>
        <w:t>. פירוט העסקאות מצוי בנספח שצורף להודעה.</w:t>
      </w:r>
    </w:p>
    <w:p w:rsidR="006032A4" w:rsidRPr="00E868B1" w:rsidRDefault="00747955" w:rsidP="006032A4">
      <w:pPr>
        <w:spacing w:line="360" w:lineRule="auto"/>
        <w:jc w:val="both"/>
        <w:rPr>
          <w:rFonts w:ascii="David" w:hAnsi="David" w:cs="David"/>
          <w:b/>
          <w:bCs/>
          <w:sz w:val="24"/>
          <w:szCs w:val="24"/>
          <w:rtl/>
        </w:rPr>
      </w:pPr>
      <w:r w:rsidRPr="00E868B1">
        <w:rPr>
          <w:rFonts w:ascii="David" w:hAnsi="David" w:cs="David" w:hint="cs"/>
          <w:b/>
          <w:bCs/>
          <w:sz w:val="24"/>
          <w:szCs w:val="24"/>
          <w:rtl/>
        </w:rPr>
        <w:t>היקף ההפרה וסכום העסקאות שלא דווחו לרשות לאיסור הלבנת הון הינו 1,375,365 ₪.</w:t>
      </w:r>
    </w:p>
    <w:p w:rsidR="00954C0B" w:rsidRPr="00AB2B8B" w:rsidRDefault="00747955" w:rsidP="00AB2B8B">
      <w:pPr>
        <w:pStyle w:val="a4"/>
        <w:numPr>
          <w:ilvl w:val="0"/>
          <w:numId w:val="1"/>
        </w:numPr>
        <w:spacing w:before="120" w:after="120" w:line="360" w:lineRule="auto"/>
        <w:ind w:left="368" w:hanging="284"/>
        <w:jc w:val="both"/>
        <w:rPr>
          <w:rFonts w:ascii="David" w:hAnsi="David" w:cs="David"/>
          <w:b/>
          <w:bCs/>
          <w:szCs w:val="24"/>
          <w:u w:val="single"/>
        </w:rPr>
      </w:pPr>
      <w:r w:rsidRPr="00AB2B8B">
        <w:rPr>
          <w:rFonts w:ascii="David" w:hAnsi="David" w:cs="David" w:hint="eastAsia"/>
          <w:b/>
          <w:bCs/>
          <w:szCs w:val="24"/>
          <w:u w:val="single"/>
          <w:rtl/>
        </w:rPr>
        <w:t>תמצית</w:t>
      </w:r>
      <w:r w:rsidRPr="00AB2B8B">
        <w:rPr>
          <w:rFonts w:ascii="David" w:hAnsi="David" w:cs="David"/>
          <w:b/>
          <w:bCs/>
          <w:szCs w:val="24"/>
          <w:u w:val="single"/>
          <w:rtl/>
        </w:rPr>
        <w:t xml:space="preserve"> טענות </w:t>
      </w:r>
      <w:r w:rsidR="001907E1">
        <w:rPr>
          <w:rFonts w:ascii="David" w:hAnsi="David" w:cs="David" w:hint="cs"/>
          <w:b/>
          <w:bCs/>
          <w:szCs w:val="24"/>
          <w:u w:val="single"/>
          <w:rtl/>
        </w:rPr>
        <w:t>החברה</w:t>
      </w:r>
      <w:r w:rsidRPr="00AB2B8B">
        <w:rPr>
          <w:rFonts w:ascii="David" w:hAnsi="David" w:cs="David"/>
          <w:b/>
          <w:bCs/>
          <w:szCs w:val="24"/>
          <w:rtl/>
        </w:rPr>
        <w:t>:</w:t>
      </w:r>
    </w:p>
    <w:p w:rsidR="00E868B1" w:rsidRDefault="00747955" w:rsidP="00D44712">
      <w:pPr>
        <w:spacing w:line="360" w:lineRule="auto"/>
        <w:jc w:val="both"/>
        <w:rPr>
          <w:rFonts w:ascii="David" w:hAnsi="David" w:cs="David"/>
          <w:sz w:val="24"/>
          <w:szCs w:val="24"/>
          <w:rtl/>
        </w:rPr>
      </w:pPr>
      <w:r>
        <w:rPr>
          <w:rFonts w:ascii="David" w:hAnsi="David" w:cs="David" w:hint="cs"/>
          <w:sz w:val="24"/>
          <w:szCs w:val="24"/>
          <w:rtl/>
        </w:rPr>
        <w:t xml:space="preserve">כאמור לעיל, החברה </w:t>
      </w:r>
      <w:r w:rsidR="00D44712">
        <w:rPr>
          <w:rFonts w:ascii="David" w:hAnsi="David" w:cs="David" w:hint="cs"/>
          <w:sz w:val="24"/>
          <w:szCs w:val="24"/>
          <w:rtl/>
        </w:rPr>
        <w:t>הודתה</w:t>
      </w:r>
      <w:r>
        <w:rPr>
          <w:rFonts w:ascii="David" w:hAnsi="David" w:cs="David" w:hint="cs"/>
          <w:sz w:val="24"/>
          <w:szCs w:val="24"/>
          <w:rtl/>
        </w:rPr>
        <w:t xml:space="preserve"> בביצוע ההפרות. </w:t>
      </w:r>
      <w:r w:rsidR="00D44712">
        <w:rPr>
          <w:rFonts w:ascii="David" w:hAnsi="David" w:cs="David" w:hint="cs"/>
          <w:sz w:val="24"/>
          <w:szCs w:val="24"/>
          <w:rtl/>
        </w:rPr>
        <w:t>יחד עם זאת, החברה העבירה מסמך טענות לרשות וכן טענה טיעונים בפני הוועדה, שעיקרם להלן.</w:t>
      </w:r>
      <w:r w:rsidR="00CF0945">
        <w:rPr>
          <w:rFonts w:ascii="David" w:hAnsi="David" w:cs="David" w:hint="cs"/>
          <w:sz w:val="24"/>
          <w:szCs w:val="24"/>
          <w:rtl/>
        </w:rPr>
        <w:t xml:space="preserve"> </w:t>
      </w:r>
    </w:p>
    <w:p w:rsidR="00D44712" w:rsidRDefault="00747955" w:rsidP="00D44712">
      <w:pPr>
        <w:spacing w:line="360" w:lineRule="auto"/>
        <w:jc w:val="both"/>
        <w:rPr>
          <w:rFonts w:ascii="David" w:hAnsi="David" w:cs="David"/>
          <w:sz w:val="24"/>
          <w:szCs w:val="24"/>
          <w:rtl/>
        </w:rPr>
      </w:pPr>
      <w:r>
        <w:rPr>
          <w:rFonts w:ascii="David" w:hAnsi="David" w:cs="David" w:hint="cs"/>
          <w:sz w:val="24"/>
          <w:szCs w:val="24"/>
          <w:rtl/>
        </w:rPr>
        <w:t>החברה טענה כי מדובר בהפרות המצויות במדרג חומרה נמוך באופן יחסי לתיקים אחרים שנבחנו על ידי הוועדה, במהות, סכום וכמות ההפרות. בנוסף, טענה החברה כי מרבית העסקאות שלא דווח</w:t>
      </w:r>
      <w:r w:rsidR="00A670F2">
        <w:rPr>
          <w:rFonts w:ascii="David" w:hAnsi="David" w:cs="David" w:hint="cs"/>
          <w:sz w:val="24"/>
          <w:szCs w:val="24"/>
          <w:rtl/>
        </w:rPr>
        <w:t>ו</w:t>
      </w:r>
      <w:r>
        <w:rPr>
          <w:rFonts w:ascii="David" w:hAnsi="David" w:cs="David" w:hint="cs"/>
          <w:sz w:val="24"/>
          <w:szCs w:val="24"/>
          <w:rtl/>
        </w:rPr>
        <w:t xml:space="preserve"> לרשות לאיסור הלבנת הון הן מסוג קבלת שיקים במסגרת פריסת חוב בעקבות סגירת העסק ואשר דווחו במועד העסקה המקורית. לטענת החברה מדובר במקרה "גבולי" מבחינת </w:t>
      </w:r>
      <w:r w:rsidR="00A670F2">
        <w:rPr>
          <w:rFonts w:ascii="David" w:hAnsi="David" w:cs="David" w:hint="cs"/>
          <w:sz w:val="24"/>
          <w:szCs w:val="24"/>
          <w:rtl/>
        </w:rPr>
        <w:t>חובת ה</w:t>
      </w:r>
      <w:r>
        <w:rPr>
          <w:rFonts w:ascii="David" w:hAnsi="David" w:cs="David" w:hint="cs"/>
          <w:sz w:val="24"/>
          <w:szCs w:val="24"/>
          <w:rtl/>
        </w:rPr>
        <w:t xml:space="preserve">דיווח. </w:t>
      </w:r>
    </w:p>
    <w:p w:rsidR="00D44712" w:rsidRDefault="00747955" w:rsidP="00A670F2">
      <w:pPr>
        <w:spacing w:line="360" w:lineRule="auto"/>
        <w:jc w:val="both"/>
        <w:rPr>
          <w:rFonts w:ascii="David" w:hAnsi="David" w:cs="David"/>
          <w:sz w:val="24"/>
          <w:szCs w:val="24"/>
          <w:rtl/>
        </w:rPr>
      </w:pPr>
      <w:r>
        <w:rPr>
          <w:rFonts w:ascii="David" w:hAnsi="David" w:cs="David" w:hint="cs"/>
          <w:sz w:val="24"/>
          <w:szCs w:val="24"/>
          <w:rtl/>
        </w:rPr>
        <w:t>בנוסף, נטען כי משנת 2015 העבירה החברה דיווחים חודשיים שוטפים לרשות לאיסור הלבנת הון ב</w:t>
      </w:r>
      <w:r w:rsidR="00EB7F6D">
        <w:rPr>
          <w:rFonts w:ascii="David" w:hAnsi="David" w:cs="David" w:hint="cs"/>
          <w:sz w:val="24"/>
          <w:szCs w:val="24"/>
          <w:rtl/>
        </w:rPr>
        <w:t xml:space="preserve">אופן תקין ורציף וכי מדובר בחברה שהקפידה לפעול בהתאם לחוק. </w:t>
      </w:r>
      <w:r w:rsidR="00533807">
        <w:rPr>
          <w:rFonts w:ascii="David" w:hAnsi="David" w:cs="David" w:hint="cs"/>
          <w:sz w:val="24"/>
          <w:szCs w:val="24"/>
          <w:rtl/>
        </w:rPr>
        <w:t xml:space="preserve">עוד נטען כי במסגרת החקירה בוצעה בדיקה של העסקאות על ידי </w:t>
      </w:r>
      <w:r w:rsidR="00A670F2">
        <w:rPr>
          <w:rFonts w:ascii="David" w:hAnsi="David" w:cs="David" w:hint="cs"/>
          <w:sz w:val="24"/>
          <w:szCs w:val="24"/>
          <w:rtl/>
        </w:rPr>
        <w:t>הרשות לאיסור הלבנת הון</w:t>
      </w:r>
      <w:r w:rsidR="00533807">
        <w:rPr>
          <w:rFonts w:ascii="David" w:hAnsi="David" w:cs="David" w:hint="cs"/>
          <w:sz w:val="24"/>
          <w:szCs w:val="24"/>
          <w:rtl/>
        </w:rPr>
        <w:t xml:space="preserve"> וכי נמצא שבמשך כל שנות פעילות החברה אותרו מא</w:t>
      </w:r>
      <w:r w:rsidR="00A670F2">
        <w:rPr>
          <w:rFonts w:ascii="David" w:hAnsi="David" w:cs="David" w:hint="cs"/>
          <w:sz w:val="24"/>
          <w:szCs w:val="24"/>
          <w:rtl/>
        </w:rPr>
        <w:t>ו</w:t>
      </w:r>
      <w:r w:rsidR="00533807">
        <w:rPr>
          <w:rFonts w:ascii="David" w:hAnsi="David" w:cs="David" w:hint="cs"/>
          <w:sz w:val="24"/>
          <w:szCs w:val="24"/>
          <w:rtl/>
        </w:rPr>
        <w:t>ת דיווחים רגילים אשר דווחו על ידי החברה, למעט ארבעה חודשים בהם לא התקבל דיווח רגיל (</w:t>
      </w:r>
      <w:r w:rsidR="00A670F2">
        <w:rPr>
          <w:rFonts w:ascii="David" w:hAnsi="David" w:cs="David" w:hint="cs"/>
          <w:sz w:val="24"/>
          <w:szCs w:val="24"/>
          <w:rtl/>
        </w:rPr>
        <w:t xml:space="preserve">בחודשים </w:t>
      </w:r>
      <w:r w:rsidR="00533807">
        <w:rPr>
          <w:rFonts w:ascii="David" w:hAnsi="David" w:cs="David" w:hint="cs"/>
          <w:sz w:val="24"/>
          <w:szCs w:val="24"/>
          <w:rtl/>
        </w:rPr>
        <w:t>5/16, 9/20, 2/17, 11/20).</w:t>
      </w:r>
    </w:p>
    <w:p w:rsidR="009C3221" w:rsidRDefault="00747955" w:rsidP="009C3221">
      <w:pPr>
        <w:spacing w:line="360" w:lineRule="auto"/>
        <w:jc w:val="both"/>
        <w:rPr>
          <w:rFonts w:ascii="David" w:hAnsi="David" w:cs="David"/>
          <w:sz w:val="24"/>
          <w:szCs w:val="24"/>
          <w:u w:val="single"/>
          <w:rtl/>
        </w:rPr>
      </w:pPr>
      <w:r w:rsidRPr="009C3221">
        <w:rPr>
          <w:rFonts w:ascii="David" w:hAnsi="David" w:cs="David" w:hint="cs"/>
          <w:sz w:val="24"/>
          <w:szCs w:val="24"/>
          <w:u w:val="single"/>
          <w:rtl/>
        </w:rPr>
        <w:t>החברה התייחסה באופן פרטני לעסקאות בגינן לא בוצע דיווח</w:t>
      </w:r>
      <w:r w:rsidRPr="009C3221">
        <w:rPr>
          <w:rFonts w:ascii="David" w:hAnsi="David" w:cs="David" w:hint="cs"/>
          <w:sz w:val="24"/>
          <w:szCs w:val="24"/>
          <w:rtl/>
        </w:rPr>
        <w:t>:</w:t>
      </w:r>
    </w:p>
    <w:p w:rsidR="005F4AD9" w:rsidRDefault="00747955" w:rsidP="00A670F2">
      <w:pPr>
        <w:pStyle w:val="a4"/>
        <w:numPr>
          <w:ilvl w:val="0"/>
          <w:numId w:val="18"/>
        </w:numPr>
        <w:spacing w:before="120" w:after="120" w:line="360" w:lineRule="auto"/>
        <w:ind w:left="714" w:hanging="357"/>
        <w:contextualSpacing w:val="0"/>
        <w:jc w:val="both"/>
        <w:rPr>
          <w:rFonts w:ascii="David" w:hAnsi="David" w:cs="David"/>
          <w:sz w:val="24"/>
          <w:szCs w:val="24"/>
        </w:rPr>
      </w:pPr>
      <w:r w:rsidRPr="00AA479A">
        <w:rPr>
          <w:rFonts w:ascii="David" w:hAnsi="David" w:cs="David" w:hint="cs"/>
          <w:sz w:val="24"/>
          <w:szCs w:val="24"/>
          <w:u w:val="single"/>
          <w:rtl/>
        </w:rPr>
        <w:t xml:space="preserve">ביחס לשיק </w:t>
      </w:r>
      <w:r w:rsidR="00A364B5" w:rsidRPr="00AA479A">
        <w:rPr>
          <w:rFonts w:ascii="David" w:hAnsi="David" w:cs="David" w:hint="cs"/>
          <w:sz w:val="24"/>
          <w:szCs w:val="24"/>
          <w:u w:val="single"/>
          <w:rtl/>
        </w:rPr>
        <w:t>מיום 14.9.20</w:t>
      </w:r>
      <w:r w:rsidRPr="009C3221">
        <w:rPr>
          <w:rFonts w:ascii="David" w:hAnsi="David" w:cs="David" w:hint="cs"/>
          <w:sz w:val="24"/>
          <w:szCs w:val="24"/>
          <w:rtl/>
        </w:rPr>
        <w:t xml:space="preserve"> </w:t>
      </w:r>
      <w:r w:rsidR="00A364B5">
        <w:rPr>
          <w:rFonts w:ascii="David" w:hAnsi="David" w:cs="David"/>
          <w:sz w:val="24"/>
          <w:szCs w:val="24"/>
          <w:rtl/>
        </w:rPr>
        <w:t>–</w:t>
      </w:r>
      <w:r w:rsidR="003B12B2">
        <w:rPr>
          <w:rFonts w:ascii="David" w:hAnsi="David" w:cs="David" w:hint="cs"/>
          <w:sz w:val="24"/>
          <w:szCs w:val="24"/>
          <w:rtl/>
        </w:rPr>
        <w:t xml:space="preserve"> </w:t>
      </w:r>
      <w:r w:rsidR="00A364B5">
        <w:rPr>
          <w:rFonts w:ascii="David" w:hAnsi="David" w:cs="David" w:hint="cs"/>
          <w:sz w:val="24"/>
          <w:szCs w:val="24"/>
          <w:rtl/>
        </w:rPr>
        <w:t xml:space="preserve">החברה </w:t>
      </w:r>
      <w:r w:rsidR="003425A0">
        <w:rPr>
          <w:rFonts w:ascii="David" w:hAnsi="David" w:cs="David" w:hint="cs"/>
          <w:sz w:val="24"/>
          <w:szCs w:val="24"/>
          <w:rtl/>
        </w:rPr>
        <w:t>ציינה</w:t>
      </w:r>
      <w:r w:rsidR="00AA479A">
        <w:rPr>
          <w:rFonts w:ascii="David" w:hAnsi="David" w:cs="David" w:hint="cs"/>
          <w:sz w:val="24"/>
          <w:szCs w:val="24"/>
          <w:rtl/>
        </w:rPr>
        <w:t xml:space="preserve"> </w:t>
      </w:r>
      <w:r w:rsidR="00A364B5">
        <w:rPr>
          <w:rFonts w:ascii="David" w:hAnsi="David" w:cs="David" w:hint="cs"/>
          <w:sz w:val="24"/>
          <w:szCs w:val="24"/>
          <w:rtl/>
        </w:rPr>
        <w:t>כי בהתאם לתעודת עובד ציבור שניתנה</w:t>
      </w:r>
      <w:r w:rsidR="000B25BD">
        <w:rPr>
          <w:rFonts w:ascii="David" w:hAnsi="David" w:cs="David" w:hint="cs"/>
          <w:sz w:val="24"/>
          <w:szCs w:val="24"/>
          <w:rtl/>
        </w:rPr>
        <w:t xml:space="preserve"> על ידי הרשות לאיסור הלבנת הון</w:t>
      </w:r>
      <w:r w:rsidR="00A364B5">
        <w:rPr>
          <w:rFonts w:ascii="David" w:hAnsi="David" w:cs="David" w:hint="cs"/>
          <w:sz w:val="24"/>
          <w:szCs w:val="24"/>
          <w:rtl/>
        </w:rPr>
        <w:t xml:space="preserve"> במסגרת ההליך הפלילי</w:t>
      </w:r>
      <w:r w:rsidR="000B25BD">
        <w:rPr>
          <w:rFonts w:ascii="David" w:hAnsi="David" w:cs="David" w:hint="cs"/>
          <w:sz w:val="24"/>
          <w:szCs w:val="24"/>
          <w:rtl/>
        </w:rPr>
        <w:t xml:space="preserve"> (להלן: "</w:t>
      </w:r>
      <w:r w:rsidR="000B25BD" w:rsidRPr="000B25BD">
        <w:rPr>
          <w:rFonts w:ascii="David" w:hAnsi="David" w:cs="David" w:hint="cs"/>
          <w:b/>
          <w:bCs/>
          <w:sz w:val="24"/>
          <w:szCs w:val="24"/>
          <w:rtl/>
        </w:rPr>
        <w:t xml:space="preserve">תעודת עובד </w:t>
      </w:r>
      <w:r w:rsidR="000B25BD">
        <w:rPr>
          <w:rFonts w:ascii="David" w:hAnsi="David" w:cs="David" w:hint="cs"/>
          <w:b/>
          <w:bCs/>
          <w:sz w:val="24"/>
          <w:szCs w:val="24"/>
          <w:rtl/>
        </w:rPr>
        <w:t>ה</w:t>
      </w:r>
      <w:r w:rsidR="000B25BD" w:rsidRPr="000B25BD">
        <w:rPr>
          <w:rFonts w:ascii="David" w:hAnsi="David" w:cs="David" w:hint="cs"/>
          <w:b/>
          <w:bCs/>
          <w:sz w:val="24"/>
          <w:szCs w:val="24"/>
          <w:rtl/>
        </w:rPr>
        <w:t>ציבור</w:t>
      </w:r>
      <w:r w:rsidR="000B25BD">
        <w:rPr>
          <w:rFonts w:ascii="David" w:hAnsi="David" w:cs="David" w:hint="cs"/>
          <w:sz w:val="24"/>
          <w:szCs w:val="24"/>
          <w:rtl/>
        </w:rPr>
        <w:t>")</w:t>
      </w:r>
      <w:r w:rsidR="00A364B5">
        <w:rPr>
          <w:rFonts w:ascii="David" w:hAnsi="David" w:cs="David" w:hint="cs"/>
          <w:sz w:val="24"/>
          <w:szCs w:val="24"/>
          <w:rtl/>
        </w:rPr>
        <w:t xml:space="preserve">, </w:t>
      </w:r>
      <w:r w:rsidR="000B25BD">
        <w:rPr>
          <w:rFonts w:ascii="David" w:hAnsi="David" w:cs="David" w:hint="cs"/>
          <w:sz w:val="24"/>
          <w:szCs w:val="24"/>
          <w:rtl/>
        </w:rPr>
        <w:t>החברה לא העבירה</w:t>
      </w:r>
      <w:r w:rsidR="00A364B5">
        <w:rPr>
          <w:rFonts w:ascii="David" w:hAnsi="David" w:cs="David" w:hint="cs"/>
          <w:sz w:val="24"/>
          <w:szCs w:val="24"/>
          <w:rtl/>
        </w:rPr>
        <w:t xml:space="preserve"> דיווח רגיל </w:t>
      </w:r>
      <w:r w:rsidR="000B25BD">
        <w:rPr>
          <w:rFonts w:ascii="David" w:hAnsi="David" w:cs="David" w:hint="cs"/>
          <w:sz w:val="24"/>
          <w:szCs w:val="24"/>
          <w:rtl/>
        </w:rPr>
        <w:t>לרשות לאיסור הלבנת הון בגין חודש</w:t>
      </w:r>
      <w:r w:rsidR="00A364B5">
        <w:rPr>
          <w:rFonts w:ascii="David" w:hAnsi="David" w:cs="David" w:hint="cs"/>
          <w:sz w:val="24"/>
          <w:szCs w:val="24"/>
          <w:rtl/>
        </w:rPr>
        <w:t xml:space="preserve"> ספטמבר 2020.</w:t>
      </w:r>
    </w:p>
    <w:p w:rsidR="00A364B5" w:rsidRDefault="00747955" w:rsidP="00A670F2">
      <w:pPr>
        <w:pStyle w:val="a4"/>
        <w:numPr>
          <w:ilvl w:val="0"/>
          <w:numId w:val="18"/>
        </w:numPr>
        <w:spacing w:before="120" w:after="120" w:line="360" w:lineRule="auto"/>
        <w:ind w:left="714" w:hanging="357"/>
        <w:contextualSpacing w:val="0"/>
        <w:jc w:val="both"/>
        <w:rPr>
          <w:rFonts w:ascii="David" w:hAnsi="David" w:cs="David"/>
          <w:sz w:val="24"/>
          <w:szCs w:val="24"/>
        </w:rPr>
      </w:pPr>
      <w:r w:rsidRPr="00AA479A">
        <w:rPr>
          <w:rFonts w:ascii="David" w:hAnsi="David" w:cs="David" w:hint="cs"/>
          <w:sz w:val="24"/>
          <w:szCs w:val="24"/>
          <w:u w:val="single"/>
          <w:rtl/>
        </w:rPr>
        <w:t>ביחס ל-4 שיקים מחודש 11/20</w:t>
      </w:r>
      <w:r>
        <w:rPr>
          <w:rFonts w:ascii="David" w:hAnsi="David" w:cs="David" w:hint="cs"/>
          <w:sz w:val="24"/>
          <w:szCs w:val="24"/>
          <w:rtl/>
        </w:rPr>
        <w:t xml:space="preserve"> </w:t>
      </w:r>
      <w:r>
        <w:rPr>
          <w:rFonts w:ascii="David" w:hAnsi="David" w:cs="David"/>
          <w:sz w:val="24"/>
          <w:szCs w:val="24"/>
          <w:rtl/>
        </w:rPr>
        <w:t>–</w:t>
      </w:r>
      <w:r w:rsidR="003B12B2">
        <w:rPr>
          <w:rFonts w:ascii="David" w:hAnsi="David" w:cs="David" w:hint="cs"/>
          <w:sz w:val="24"/>
          <w:szCs w:val="24"/>
          <w:rtl/>
        </w:rPr>
        <w:t xml:space="preserve"> </w:t>
      </w:r>
      <w:r>
        <w:rPr>
          <w:rFonts w:ascii="David" w:hAnsi="David" w:cs="David" w:hint="cs"/>
          <w:sz w:val="24"/>
          <w:szCs w:val="24"/>
          <w:rtl/>
        </w:rPr>
        <w:t xml:space="preserve">החברה </w:t>
      </w:r>
      <w:r w:rsidR="003425A0">
        <w:rPr>
          <w:rFonts w:ascii="David" w:hAnsi="David" w:cs="David" w:hint="cs"/>
          <w:sz w:val="24"/>
          <w:szCs w:val="24"/>
          <w:rtl/>
        </w:rPr>
        <w:t>ציינה</w:t>
      </w:r>
      <w:r w:rsidR="00AA479A">
        <w:rPr>
          <w:rFonts w:ascii="David" w:hAnsi="David" w:cs="David" w:hint="cs"/>
          <w:sz w:val="24"/>
          <w:szCs w:val="24"/>
          <w:rtl/>
        </w:rPr>
        <w:t xml:space="preserve"> </w:t>
      </w:r>
      <w:r>
        <w:rPr>
          <w:rFonts w:ascii="David" w:hAnsi="David" w:cs="David" w:hint="cs"/>
          <w:sz w:val="24"/>
          <w:szCs w:val="24"/>
          <w:rtl/>
        </w:rPr>
        <w:t xml:space="preserve">כי בהתאם לתעודת עובד </w:t>
      </w:r>
      <w:r w:rsidR="000B25BD">
        <w:rPr>
          <w:rFonts w:ascii="David" w:hAnsi="David" w:cs="David" w:hint="cs"/>
          <w:sz w:val="24"/>
          <w:szCs w:val="24"/>
          <w:rtl/>
        </w:rPr>
        <w:t>ה</w:t>
      </w:r>
      <w:r>
        <w:rPr>
          <w:rFonts w:ascii="David" w:hAnsi="David" w:cs="David" w:hint="cs"/>
          <w:sz w:val="24"/>
          <w:szCs w:val="24"/>
          <w:rtl/>
        </w:rPr>
        <w:t>ציבור, דיווח בגין חודש נובמבר 2020 התקבל באופן שאינו מאפשר קליטתו</w:t>
      </w:r>
      <w:r w:rsidR="003425A0">
        <w:rPr>
          <w:rFonts w:ascii="David" w:hAnsi="David" w:cs="David" w:hint="cs"/>
          <w:sz w:val="24"/>
          <w:szCs w:val="24"/>
          <w:rtl/>
        </w:rPr>
        <w:t xml:space="preserve"> (לא </w:t>
      </w:r>
      <w:r w:rsidR="00A670F2">
        <w:rPr>
          <w:rFonts w:ascii="David" w:hAnsi="David" w:cs="David" w:hint="cs"/>
          <w:sz w:val="24"/>
          <w:szCs w:val="24"/>
          <w:rtl/>
        </w:rPr>
        <w:t>בהתאם להנחיות</w:t>
      </w:r>
      <w:r w:rsidR="003425A0">
        <w:rPr>
          <w:rFonts w:ascii="David" w:hAnsi="David" w:cs="David" w:hint="cs"/>
          <w:sz w:val="24"/>
          <w:szCs w:val="24"/>
          <w:rtl/>
        </w:rPr>
        <w:t xml:space="preserve"> הדיווח)</w:t>
      </w:r>
      <w:r>
        <w:rPr>
          <w:rFonts w:ascii="David" w:hAnsi="David" w:cs="David" w:hint="cs"/>
          <w:sz w:val="24"/>
          <w:szCs w:val="24"/>
          <w:rtl/>
        </w:rPr>
        <w:t xml:space="preserve">. </w:t>
      </w:r>
      <w:r w:rsidR="003425A0">
        <w:rPr>
          <w:rFonts w:ascii="David" w:hAnsi="David" w:cs="David" w:hint="cs"/>
          <w:sz w:val="24"/>
          <w:szCs w:val="24"/>
          <w:rtl/>
        </w:rPr>
        <w:t>החברה צירפה אישור משלוח דואר רשום לרשות לאיסור הלבנת הון מיום 9.12.20 וציינה כי לא התקבלה בקשה מהרשות לאיסור הלבנת הון לתקן או לשלוח את הדיווחים מחדש.</w:t>
      </w:r>
    </w:p>
    <w:p w:rsidR="003B12B2" w:rsidRDefault="00747955" w:rsidP="000B25BD">
      <w:pPr>
        <w:pStyle w:val="a4"/>
        <w:numPr>
          <w:ilvl w:val="0"/>
          <w:numId w:val="18"/>
        </w:numPr>
        <w:spacing w:line="360" w:lineRule="auto"/>
        <w:jc w:val="both"/>
        <w:rPr>
          <w:rFonts w:ascii="David" w:hAnsi="David" w:cs="David"/>
          <w:sz w:val="24"/>
          <w:szCs w:val="24"/>
        </w:rPr>
      </w:pPr>
      <w:r>
        <w:rPr>
          <w:rFonts w:ascii="David" w:hAnsi="David" w:cs="David" w:hint="cs"/>
          <w:sz w:val="24"/>
          <w:szCs w:val="24"/>
          <w:u w:val="single"/>
          <w:rtl/>
        </w:rPr>
        <w:t>ביחס לשיק מיום</w:t>
      </w:r>
      <w:r w:rsidRPr="003B12B2">
        <w:rPr>
          <w:rFonts w:ascii="David" w:hAnsi="David" w:cs="David" w:hint="cs"/>
          <w:sz w:val="24"/>
          <w:szCs w:val="24"/>
          <w:u w:val="single"/>
          <w:rtl/>
        </w:rPr>
        <w:t xml:space="preserve"> 9.6.21</w:t>
      </w:r>
      <w:r>
        <w:rPr>
          <w:rFonts w:ascii="David" w:hAnsi="David" w:cs="David" w:hint="cs"/>
          <w:sz w:val="24"/>
          <w:szCs w:val="24"/>
          <w:rtl/>
        </w:rPr>
        <w:t xml:space="preserve"> </w:t>
      </w:r>
      <w:r>
        <w:rPr>
          <w:rFonts w:ascii="David" w:hAnsi="David" w:cs="David"/>
          <w:sz w:val="24"/>
          <w:szCs w:val="24"/>
          <w:rtl/>
        </w:rPr>
        <w:t>–</w:t>
      </w:r>
      <w:r>
        <w:rPr>
          <w:rFonts w:ascii="David" w:hAnsi="David" w:cs="David" w:hint="cs"/>
          <w:sz w:val="24"/>
          <w:szCs w:val="24"/>
          <w:rtl/>
        </w:rPr>
        <w:t xml:space="preserve"> החברה ציינה כי בהתאם לתעודת עובד </w:t>
      </w:r>
      <w:r w:rsidR="000B25BD">
        <w:rPr>
          <w:rFonts w:ascii="David" w:hAnsi="David" w:cs="David" w:hint="cs"/>
          <w:sz w:val="24"/>
          <w:szCs w:val="24"/>
          <w:rtl/>
        </w:rPr>
        <w:t>ה</w:t>
      </w:r>
      <w:r>
        <w:rPr>
          <w:rFonts w:ascii="David" w:hAnsi="David" w:cs="David" w:hint="cs"/>
          <w:sz w:val="24"/>
          <w:szCs w:val="24"/>
          <w:rtl/>
        </w:rPr>
        <w:t>ציבור, לא הוגש דיווח</w:t>
      </w:r>
      <w:r w:rsidR="000B25BD">
        <w:rPr>
          <w:rFonts w:ascii="David" w:hAnsi="David" w:cs="David" w:hint="cs"/>
          <w:sz w:val="24"/>
          <w:szCs w:val="24"/>
          <w:rtl/>
        </w:rPr>
        <w:t xml:space="preserve"> לרשות לאיסור הלבנת הון</w:t>
      </w:r>
      <w:r>
        <w:rPr>
          <w:rFonts w:ascii="David" w:hAnsi="David" w:cs="David" w:hint="cs"/>
          <w:sz w:val="24"/>
          <w:szCs w:val="24"/>
          <w:rtl/>
        </w:rPr>
        <w:t xml:space="preserve"> בחודש זה</w:t>
      </w:r>
      <w:r w:rsidR="000B25BD">
        <w:rPr>
          <w:rFonts w:ascii="David" w:hAnsi="David" w:cs="David" w:hint="cs"/>
          <w:sz w:val="24"/>
          <w:szCs w:val="24"/>
          <w:rtl/>
        </w:rPr>
        <w:t xml:space="preserve"> וכי הדיווח האחרון לרשות לאיסור הלבנת הון היה בחודש מאי 2021</w:t>
      </w:r>
      <w:r>
        <w:rPr>
          <w:rFonts w:ascii="David" w:hAnsi="David" w:cs="David" w:hint="cs"/>
          <w:sz w:val="24"/>
          <w:szCs w:val="24"/>
          <w:rtl/>
        </w:rPr>
        <w:t xml:space="preserve">. </w:t>
      </w:r>
    </w:p>
    <w:p w:rsidR="003B12B2" w:rsidRDefault="00747955" w:rsidP="00B700E6">
      <w:pPr>
        <w:pStyle w:val="a4"/>
        <w:numPr>
          <w:ilvl w:val="0"/>
          <w:numId w:val="18"/>
        </w:numPr>
        <w:spacing w:line="360" w:lineRule="auto"/>
        <w:jc w:val="both"/>
        <w:rPr>
          <w:rFonts w:ascii="David" w:hAnsi="David" w:cs="David"/>
          <w:sz w:val="24"/>
          <w:szCs w:val="24"/>
        </w:rPr>
      </w:pPr>
      <w:r>
        <w:rPr>
          <w:rFonts w:ascii="David" w:hAnsi="David" w:cs="David" w:hint="cs"/>
          <w:sz w:val="24"/>
          <w:szCs w:val="24"/>
          <w:u w:val="single"/>
          <w:rtl/>
        </w:rPr>
        <w:lastRenderedPageBreak/>
        <w:t>ביחס לשיק מיום 1</w:t>
      </w:r>
      <w:r w:rsidRPr="003B12B2">
        <w:rPr>
          <w:rFonts w:ascii="David" w:hAnsi="David" w:cs="David" w:hint="cs"/>
          <w:sz w:val="24"/>
          <w:szCs w:val="24"/>
          <w:u w:val="single"/>
          <w:rtl/>
        </w:rPr>
        <w:t>0.11.21</w:t>
      </w:r>
      <w:r>
        <w:rPr>
          <w:rFonts w:ascii="David" w:hAnsi="David" w:cs="David" w:hint="cs"/>
          <w:sz w:val="24"/>
          <w:szCs w:val="24"/>
          <w:rtl/>
        </w:rPr>
        <w:t xml:space="preserve"> </w:t>
      </w:r>
      <w:r>
        <w:rPr>
          <w:rFonts w:ascii="David" w:hAnsi="David" w:cs="David"/>
          <w:sz w:val="24"/>
          <w:szCs w:val="24"/>
          <w:rtl/>
        </w:rPr>
        <w:t>–</w:t>
      </w:r>
      <w:r w:rsidR="008D6035">
        <w:rPr>
          <w:rFonts w:ascii="David" w:hAnsi="David" w:cs="David" w:hint="cs"/>
          <w:sz w:val="24"/>
          <w:szCs w:val="24"/>
          <w:rtl/>
        </w:rPr>
        <w:t xml:space="preserve"> </w:t>
      </w:r>
      <w:r w:rsidR="00B700E6">
        <w:rPr>
          <w:rFonts w:ascii="David" w:hAnsi="David" w:cs="David" w:hint="cs"/>
          <w:sz w:val="24"/>
          <w:szCs w:val="24"/>
          <w:rtl/>
        </w:rPr>
        <w:t>נטען כי</w:t>
      </w:r>
      <w:r w:rsidR="008D6035">
        <w:rPr>
          <w:rFonts w:ascii="David" w:hAnsi="David" w:cs="David" w:hint="cs"/>
          <w:sz w:val="24"/>
          <w:szCs w:val="24"/>
          <w:rtl/>
        </w:rPr>
        <w:t xml:space="preserve"> מד</w:t>
      </w:r>
      <w:r w:rsidR="00B93A20">
        <w:rPr>
          <w:rFonts w:ascii="David" w:hAnsi="David" w:cs="David" w:hint="cs"/>
          <w:sz w:val="24"/>
          <w:szCs w:val="24"/>
          <w:rtl/>
        </w:rPr>
        <w:t xml:space="preserve">ובר בשיק שניתן </w:t>
      </w:r>
      <w:r w:rsidR="00B93A20" w:rsidRPr="0026398F">
        <w:rPr>
          <w:rFonts w:ascii="David" w:hAnsi="David" w:cs="David" w:hint="cs"/>
          <w:sz w:val="24"/>
          <w:szCs w:val="24"/>
          <w:highlight w:val="black"/>
          <w:rtl/>
        </w:rPr>
        <w:t>לעובד שכיר בחברה וכי נבחנה היתכנות למתן הלוואה כנגד השיק</w:t>
      </w:r>
      <w:r w:rsidR="00B93A20">
        <w:rPr>
          <w:rFonts w:ascii="David" w:hAnsi="David" w:cs="David" w:hint="cs"/>
          <w:sz w:val="24"/>
          <w:szCs w:val="24"/>
          <w:rtl/>
        </w:rPr>
        <w:t xml:space="preserve"> אך הדבר לא יצא לפועל ולא התקיימה עסקת אשראי חייבת בדיווח.</w:t>
      </w:r>
    </w:p>
    <w:p w:rsidR="00B93A20" w:rsidRDefault="00747955" w:rsidP="006E1C0E">
      <w:pPr>
        <w:pStyle w:val="a4"/>
        <w:numPr>
          <w:ilvl w:val="0"/>
          <w:numId w:val="18"/>
        </w:numPr>
        <w:spacing w:before="120" w:after="120" w:line="360" w:lineRule="auto"/>
        <w:ind w:left="714" w:hanging="357"/>
        <w:contextualSpacing w:val="0"/>
        <w:jc w:val="both"/>
        <w:rPr>
          <w:rFonts w:ascii="David" w:hAnsi="David" w:cs="David"/>
          <w:sz w:val="24"/>
          <w:szCs w:val="24"/>
        </w:rPr>
      </w:pPr>
      <w:r w:rsidRPr="00B700E6">
        <w:rPr>
          <w:rFonts w:ascii="David" w:hAnsi="David" w:cs="David" w:hint="cs"/>
          <w:sz w:val="24"/>
          <w:szCs w:val="24"/>
          <w:u w:val="single"/>
          <w:rtl/>
        </w:rPr>
        <w:t>ביחס לשיק מיום 6.12.21</w:t>
      </w:r>
      <w:r w:rsidRPr="00B700E6">
        <w:rPr>
          <w:rFonts w:ascii="David" w:hAnsi="David" w:cs="David" w:hint="cs"/>
          <w:sz w:val="24"/>
          <w:szCs w:val="24"/>
          <w:rtl/>
        </w:rPr>
        <w:t xml:space="preserve"> </w:t>
      </w:r>
      <w:r w:rsidRPr="00B700E6">
        <w:rPr>
          <w:rFonts w:ascii="David" w:hAnsi="David" w:cs="David"/>
          <w:sz w:val="24"/>
          <w:szCs w:val="24"/>
          <w:rtl/>
        </w:rPr>
        <w:t>–</w:t>
      </w:r>
      <w:r w:rsidR="00B700E6">
        <w:rPr>
          <w:rFonts w:ascii="David" w:hAnsi="David" w:cs="David" w:hint="cs"/>
          <w:sz w:val="24"/>
          <w:szCs w:val="24"/>
          <w:rtl/>
        </w:rPr>
        <w:t xml:space="preserve"> נטען כי מדובר בשיק שלא בוצעה פעולת ניכיון לגביו ולא נעשתה פעולת אשראי חייבת בדיווח.</w:t>
      </w:r>
    </w:p>
    <w:p w:rsidR="00B700E6" w:rsidRPr="00B700E6" w:rsidRDefault="00747955" w:rsidP="008E0FFD">
      <w:pPr>
        <w:pStyle w:val="a4"/>
        <w:numPr>
          <w:ilvl w:val="0"/>
          <w:numId w:val="18"/>
        </w:numPr>
        <w:spacing w:line="360" w:lineRule="auto"/>
        <w:jc w:val="both"/>
        <w:rPr>
          <w:rFonts w:ascii="David" w:hAnsi="David" w:cs="David"/>
          <w:sz w:val="24"/>
          <w:szCs w:val="24"/>
          <w:rtl/>
        </w:rPr>
      </w:pPr>
      <w:r w:rsidRPr="008E0FFD">
        <w:rPr>
          <w:rFonts w:ascii="David" w:hAnsi="David" w:cs="David" w:hint="cs"/>
          <w:sz w:val="24"/>
          <w:szCs w:val="24"/>
          <w:u w:val="single"/>
          <w:rtl/>
        </w:rPr>
        <w:t>ביחס ליתרת השיקים המוזכרים בהודעה המוסכמת</w:t>
      </w:r>
      <w:r w:rsidR="008E0FFD">
        <w:rPr>
          <w:rFonts w:ascii="David" w:hAnsi="David" w:cs="David" w:hint="cs"/>
          <w:sz w:val="24"/>
          <w:szCs w:val="24"/>
          <w:rtl/>
        </w:rPr>
        <w:t xml:space="preserve"> </w:t>
      </w:r>
      <w:r w:rsidR="008E0FFD">
        <w:rPr>
          <w:rFonts w:ascii="David" w:hAnsi="David" w:cs="David"/>
          <w:sz w:val="24"/>
          <w:szCs w:val="24"/>
          <w:rtl/>
        </w:rPr>
        <w:t>–</w:t>
      </w:r>
      <w:r>
        <w:rPr>
          <w:rFonts w:ascii="David" w:hAnsi="David" w:cs="David" w:hint="cs"/>
          <w:sz w:val="24"/>
          <w:szCs w:val="24"/>
          <w:rtl/>
        </w:rPr>
        <w:t xml:space="preserve"> נטען כי מדובר בשיקים שניתנו כחלק מהסדרי חוב או החלפת שיקים עם לקוחות לאור סגירת העסק וכי מדובר בשיקים שהינם למועד </w:t>
      </w:r>
      <w:r w:rsidR="00A670F2">
        <w:rPr>
          <w:rFonts w:ascii="David" w:hAnsi="David" w:cs="David" w:hint="cs"/>
          <w:sz w:val="24"/>
          <w:szCs w:val="24"/>
          <w:rtl/>
        </w:rPr>
        <w:t>ש</w:t>
      </w:r>
      <w:r>
        <w:rPr>
          <w:rFonts w:ascii="David" w:hAnsi="David" w:cs="David" w:hint="cs"/>
          <w:sz w:val="24"/>
          <w:szCs w:val="24"/>
          <w:rtl/>
        </w:rPr>
        <w:t>לאחר סגירת העסק וכי דווח</w:t>
      </w:r>
      <w:r w:rsidR="00A670F2">
        <w:rPr>
          <w:rFonts w:ascii="David" w:hAnsi="David" w:cs="David" w:hint="cs"/>
          <w:sz w:val="24"/>
          <w:szCs w:val="24"/>
          <w:rtl/>
        </w:rPr>
        <w:t>ו</w:t>
      </w:r>
      <w:r>
        <w:rPr>
          <w:rFonts w:ascii="David" w:hAnsi="David" w:cs="David" w:hint="cs"/>
          <w:sz w:val="24"/>
          <w:szCs w:val="24"/>
          <w:rtl/>
        </w:rPr>
        <w:t xml:space="preserve"> לרשות לאיסור הלבנת הון במסגרת העסקה המקורית וכי בשל כך עולה השאלה האם קיימת חובת דיווח בנסיבות אלה.</w:t>
      </w:r>
    </w:p>
    <w:p w:rsidR="00D44712" w:rsidRDefault="00747955" w:rsidP="00D44712">
      <w:pPr>
        <w:spacing w:line="360" w:lineRule="auto"/>
        <w:jc w:val="both"/>
        <w:rPr>
          <w:rFonts w:ascii="David" w:hAnsi="David" w:cs="David"/>
          <w:sz w:val="24"/>
          <w:szCs w:val="24"/>
          <w:rtl/>
        </w:rPr>
      </w:pPr>
      <w:r>
        <w:rPr>
          <w:rFonts w:ascii="David" w:hAnsi="David" w:cs="David" w:hint="cs"/>
          <w:sz w:val="24"/>
          <w:szCs w:val="24"/>
          <w:rtl/>
        </w:rPr>
        <w:t xml:space="preserve">החברה ביקשה להביא בחשבון כי ההפרות בוצעו בתקופת </w:t>
      </w:r>
      <w:r w:rsidR="00DA2FE9">
        <w:rPr>
          <w:rFonts w:ascii="David" w:hAnsi="David" w:cs="David" w:hint="cs"/>
          <w:sz w:val="24"/>
          <w:szCs w:val="24"/>
          <w:rtl/>
        </w:rPr>
        <w:t>מגפת</w:t>
      </w:r>
      <w:r>
        <w:rPr>
          <w:rFonts w:ascii="David" w:hAnsi="David" w:cs="David" w:hint="cs"/>
          <w:sz w:val="24"/>
          <w:szCs w:val="24"/>
          <w:rtl/>
        </w:rPr>
        <w:t xml:space="preserve"> הקורונה שגרמה לפגיעה משמעותית בפעילות ובהכנסות. בנוסף, ביקשה החברה להביא בחשבון את העובדה שפעילות החברה הסתיימה וכי יש בכך מסר ענישתי כשלעצמו.</w:t>
      </w:r>
    </w:p>
    <w:p w:rsidR="00954C0B" w:rsidRPr="00C04C93" w:rsidRDefault="00747955" w:rsidP="006C1D2D">
      <w:pPr>
        <w:pStyle w:val="a4"/>
        <w:numPr>
          <w:ilvl w:val="0"/>
          <w:numId w:val="1"/>
        </w:numPr>
        <w:spacing w:before="120" w:after="120" w:line="360" w:lineRule="auto"/>
        <w:ind w:left="368" w:hanging="284"/>
        <w:jc w:val="both"/>
        <w:rPr>
          <w:rFonts w:ascii="David" w:hAnsi="David" w:cs="David"/>
          <w:b/>
          <w:bCs/>
          <w:szCs w:val="24"/>
          <w:u w:val="single"/>
          <w:rtl/>
        </w:rPr>
      </w:pPr>
      <w:r w:rsidRPr="00C04C93">
        <w:rPr>
          <w:rFonts w:ascii="David" w:hAnsi="David" w:cs="David" w:hint="eastAsia"/>
          <w:b/>
          <w:bCs/>
          <w:szCs w:val="24"/>
          <w:u w:val="single"/>
          <w:rtl/>
        </w:rPr>
        <w:t>החלטת</w:t>
      </w:r>
      <w:r w:rsidRPr="00C04C93">
        <w:rPr>
          <w:rFonts w:ascii="David" w:hAnsi="David" w:cs="David"/>
          <w:b/>
          <w:bCs/>
          <w:szCs w:val="24"/>
          <w:u w:val="single"/>
          <w:rtl/>
        </w:rPr>
        <w:t xml:space="preserve"> </w:t>
      </w:r>
      <w:r w:rsidRPr="00C04C93">
        <w:rPr>
          <w:rFonts w:ascii="David" w:hAnsi="David" w:cs="David" w:hint="eastAsia"/>
          <w:b/>
          <w:bCs/>
          <w:szCs w:val="24"/>
          <w:u w:val="single"/>
          <w:rtl/>
        </w:rPr>
        <w:t>הוועדה</w:t>
      </w:r>
      <w:r w:rsidRPr="00013DAE">
        <w:rPr>
          <w:rFonts w:ascii="David" w:hAnsi="David" w:cs="David"/>
          <w:b/>
          <w:bCs/>
          <w:szCs w:val="24"/>
          <w:rtl/>
        </w:rPr>
        <w:t>:</w:t>
      </w:r>
    </w:p>
    <w:p w:rsidR="0084166D" w:rsidRDefault="00747955" w:rsidP="008D1E45">
      <w:pPr>
        <w:spacing w:line="360" w:lineRule="auto"/>
        <w:jc w:val="both"/>
        <w:rPr>
          <w:rFonts w:ascii="David" w:hAnsi="David" w:cs="David"/>
          <w:sz w:val="24"/>
          <w:szCs w:val="24"/>
          <w:rtl/>
        </w:rPr>
      </w:pPr>
      <w:r>
        <w:rPr>
          <w:rFonts w:ascii="David" w:hAnsi="David" w:cs="David" w:hint="cs"/>
          <w:sz w:val="24"/>
          <w:szCs w:val="24"/>
          <w:rtl/>
        </w:rPr>
        <w:t>לאחר בחינת העובדות המוסכמות על החברה וטיעוני החברה</w:t>
      </w:r>
      <w:r w:rsidR="00C53810">
        <w:rPr>
          <w:rFonts w:ascii="David" w:hAnsi="David" w:cs="David" w:hint="cs"/>
          <w:sz w:val="24"/>
          <w:szCs w:val="24"/>
          <w:rtl/>
        </w:rPr>
        <w:t xml:space="preserve">, קובעת הוועדה כי במסגרת פעילותה הפרה החברה את הוראות </w:t>
      </w:r>
      <w:r w:rsidR="007017F7">
        <w:rPr>
          <w:rFonts w:ascii="David" w:hAnsi="David" w:cs="David" w:hint="cs"/>
          <w:sz w:val="24"/>
          <w:szCs w:val="24"/>
          <w:rtl/>
        </w:rPr>
        <w:t>סעיף 11 לצו</w:t>
      </w:r>
      <w:r w:rsidR="003A6583">
        <w:rPr>
          <w:rFonts w:ascii="David" w:hAnsi="David" w:cs="David" w:hint="cs"/>
          <w:sz w:val="24"/>
          <w:szCs w:val="24"/>
          <w:rtl/>
        </w:rPr>
        <w:t xml:space="preserve">, </w:t>
      </w:r>
      <w:r w:rsidR="008D1E45">
        <w:rPr>
          <w:rFonts w:ascii="David" w:hAnsi="David" w:cs="David" w:hint="cs"/>
          <w:sz w:val="24"/>
          <w:szCs w:val="24"/>
          <w:rtl/>
        </w:rPr>
        <w:t>כאמור להלן</w:t>
      </w:r>
      <w:r w:rsidR="007017F7">
        <w:rPr>
          <w:rFonts w:ascii="David" w:hAnsi="David" w:cs="David" w:hint="cs"/>
          <w:sz w:val="24"/>
          <w:szCs w:val="24"/>
          <w:rtl/>
        </w:rPr>
        <w:t>:</w:t>
      </w:r>
    </w:p>
    <w:p w:rsidR="007017F7" w:rsidRDefault="00747955" w:rsidP="00A670F2">
      <w:pPr>
        <w:pStyle w:val="a4"/>
        <w:numPr>
          <w:ilvl w:val="0"/>
          <w:numId w:val="20"/>
        </w:numPr>
        <w:spacing w:before="120" w:after="120" w:line="360" w:lineRule="auto"/>
        <w:ind w:left="714" w:hanging="357"/>
        <w:contextualSpacing w:val="0"/>
        <w:jc w:val="both"/>
        <w:rPr>
          <w:rFonts w:ascii="David" w:hAnsi="David" w:cs="David"/>
          <w:sz w:val="24"/>
          <w:szCs w:val="24"/>
        </w:rPr>
      </w:pPr>
      <w:r w:rsidRPr="007017F7">
        <w:rPr>
          <w:rFonts w:ascii="David" w:hAnsi="David" w:cs="David" w:hint="cs"/>
          <w:sz w:val="24"/>
          <w:szCs w:val="24"/>
          <w:rtl/>
        </w:rPr>
        <w:t>בי</w:t>
      </w:r>
      <w:r w:rsidR="003A6583">
        <w:rPr>
          <w:rFonts w:ascii="David" w:hAnsi="David" w:cs="David" w:hint="cs"/>
          <w:sz w:val="24"/>
          <w:szCs w:val="24"/>
          <w:rtl/>
        </w:rPr>
        <w:t>חס לשיקים מיום 14.9.20 ו</w:t>
      </w:r>
      <w:r w:rsidR="00A670F2">
        <w:rPr>
          <w:rFonts w:ascii="David" w:hAnsi="David" w:cs="David" w:hint="cs"/>
          <w:sz w:val="24"/>
          <w:szCs w:val="24"/>
          <w:rtl/>
        </w:rPr>
        <w:t xml:space="preserve">מיום </w:t>
      </w:r>
      <w:r w:rsidR="003A6583">
        <w:rPr>
          <w:rFonts w:ascii="David" w:hAnsi="David" w:cs="David" w:hint="cs"/>
          <w:sz w:val="24"/>
          <w:szCs w:val="24"/>
          <w:rtl/>
        </w:rPr>
        <w:t xml:space="preserve">9.6.21 </w:t>
      </w:r>
      <w:r w:rsidR="003A6583">
        <w:rPr>
          <w:rFonts w:ascii="David" w:hAnsi="David" w:cs="David"/>
          <w:sz w:val="24"/>
          <w:szCs w:val="24"/>
          <w:rtl/>
        </w:rPr>
        <w:t>–</w:t>
      </w:r>
      <w:r w:rsidRPr="007017F7">
        <w:rPr>
          <w:rFonts w:ascii="David" w:hAnsi="David" w:cs="David" w:hint="cs"/>
          <w:sz w:val="24"/>
          <w:szCs w:val="24"/>
          <w:rtl/>
        </w:rPr>
        <w:t xml:space="preserve"> </w:t>
      </w:r>
      <w:r w:rsidR="008D1E45">
        <w:rPr>
          <w:rFonts w:ascii="David" w:hAnsi="David" w:cs="David" w:hint="cs"/>
          <w:sz w:val="24"/>
          <w:szCs w:val="24"/>
          <w:rtl/>
        </w:rPr>
        <w:t xml:space="preserve">כפי שעולה מההודעה המוסכמת ומטיעוני החברה, </w:t>
      </w:r>
      <w:r w:rsidRPr="007017F7">
        <w:rPr>
          <w:rFonts w:ascii="David" w:hAnsi="David" w:cs="David" w:hint="cs"/>
          <w:sz w:val="24"/>
          <w:szCs w:val="24"/>
          <w:rtl/>
        </w:rPr>
        <w:t xml:space="preserve">החברה לא </w:t>
      </w:r>
      <w:r>
        <w:rPr>
          <w:rFonts w:ascii="David" w:hAnsi="David" w:cs="David" w:hint="cs"/>
          <w:sz w:val="24"/>
          <w:szCs w:val="24"/>
          <w:rtl/>
        </w:rPr>
        <w:t>העבירה דיווח רגיל</w:t>
      </w:r>
      <w:r w:rsidR="008D1E45">
        <w:rPr>
          <w:rFonts w:ascii="David" w:hAnsi="David" w:cs="David" w:hint="cs"/>
          <w:sz w:val="24"/>
          <w:szCs w:val="24"/>
          <w:rtl/>
        </w:rPr>
        <w:t xml:space="preserve"> בנוגע לשיקים אלה</w:t>
      </w:r>
      <w:r>
        <w:rPr>
          <w:rFonts w:ascii="David" w:hAnsi="David" w:cs="David" w:hint="cs"/>
          <w:sz w:val="24"/>
          <w:szCs w:val="24"/>
          <w:rtl/>
        </w:rPr>
        <w:t xml:space="preserve"> בניגוד לסעיף 11(א) לצו</w:t>
      </w:r>
      <w:r w:rsidR="008E0FFD">
        <w:rPr>
          <w:rFonts w:ascii="David" w:hAnsi="David" w:cs="David" w:hint="cs"/>
          <w:sz w:val="24"/>
          <w:szCs w:val="24"/>
          <w:rtl/>
        </w:rPr>
        <w:t xml:space="preserve"> ובכך הפרה את הוראות הסעיף האמור</w:t>
      </w:r>
      <w:r>
        <w:rPr>
          <w:rFonts w:ascii="David" w:hAnsi="David" w:cs="David" w:hint="cs"/>
          <w:sz w:val="24"/>
          <w:szCs w:val="24"/>
          <w:rtl/>
        </w:rPr>
        <w:t xml:space="preserve">. </w:t>
      </w:r>
    </w:p>
    <w:p w:rsidR="00AE65F8" w:rsidRDefault="00747955" w:rsidP="00A670F2">
      <w:pPr>
        <w:pStyle w:val="a4"/>
        <w:numPr>
          <w:ilvl w:val="0"/>
          <w:numId w:val="20"/>
        </w:numPr>
        <w:spacing w:before="120" w:after="120" w:line="360" w:lineRule="auto"/>
        <w:ind w:left="714" w:hanging="357"/>
        <w:contextualSpacing w:val="0"/>
        <w:jc w:val="both"/>
        <w:rPr>
          <w:rFonts w:ascii="David" w:hAnsi="David" w:cs="David"/>
          <w:sz w:val="24"/>
          <w:szCs w:val="24"/>
        </w:rPr>
      </w:pPr>
      <w:r>
        <w:rPr>
          <w:rFonts w:ascii="David" w:hAnsi="David" w:cs="David" w:hint="cs"/>
          <w:sz w:val="24"/>
          <w:szCs w:val="24"/>
          <w:rtl/>
        </w:rPr>
        <w:t xml:space="preserve">ביחס </w:t>
      </w:r>
      <w:r w:rsidR="003A6583">
        <w:rPr>
          <w:rFonts w:ascii="David" w:hAnsi="David" w:cs="David" w:hint="cs"/>
          <w:sz w:val="24"/>
          <w:szCs w:val="24"/>
          <w:rtl/>
        </w:rPr>
        <w:t>לארבעת ה</w:t>
      </w:r>
      <w:r>
        <w:rPr>
          <w:rFonts w:ascii="David" w:hAnsi="David" w:cs="David" w:hint="cs"/>
          <w:sz w:val="24"/>
          <w:szCs w:val="24"/>
          <w:rtl/>
        </w:rPr>
        <w:t xml:space="preserve">שיקים מחודש 11/20 </w:t>
      </w:r>
      <w:r>
        <w:rPr>
          <w:rFonts w:ascii="David" w:hAnsi="David" w:cs="David"/>
          <w:sz w:val="24"/>
          <w:szCs w:val="24"/>
          <w:rtl/>
        </w:rPr>
        <w:t>–</w:t>
      </w:r>
      <w:r>
        <w:rPr>
          <w:rFonts w:ascii="David" w:hAnsi="David" w:cs="David" w:hint="cs"/>
          <w:sz w:val="24"/>
          <w:szCs w:val="24"/>
          <w:rtl/>
        </w:rPr>
        <w:t xml:space="preserve"> כאמור, דיווח אודות החודש האמור התקבל באופן שאינו מאפשר קליטתו ולא בהתאם </w:t>
      </w:r>
      <w:r w:rsidR="00A670F2">
        <w:rPr>
          <w:rFonts w:ascii="David" w:hAnsi="David" w:cs="David" w:hint="cs"/>
          <w:sz w:val="24"/>
          <w:szCs w:val="24"/>
          <w:rtl/>
        </w:rPr>
        <w:t xml:space="preserve">להנחיות </w:t>
      </w:r>
      <w:r>
        <w:rPr>
          <w:rFonts w:ascii="David" w:hAnsi="David" w:cs="David" w:hint="cs"/>
          <w:sz w:val="24"/>
          <w:szCs w:val="24"/>
          <w:rtl/>
        </w:rPr>
        <w:t xml:space="preserve">הדיווח. הוועדה מדגישה כי </w:t>
      </w:r>
      <w:r w:rsidR="000C763E" w:rsidRPr="004946D1">
        <w:rPr>
          <w:rFonts w:ascii="Times New Roman" w:hAnsi="Times New Roman" w:cs="David" w:hint="cs"/>
          <w:sz w:val="24"/>
          <w:szCs w:val="24"/>
          <w:rtl/>
        </w:rPr>
        <w:t>על נותן השירות החובה לוודא כי הוא מקיים את חובות הצו כראוי</w:t>
      </w:r>
      <w:r w:rsidR="00EC5373">
        <w:rPr>
          <w:rFonts w:ascii="Times New Roman" w:hAnsi="Times New Roman" w:cs="David" w:hint="cs"/>
          <w:sz w:val="24"/>
          <w:szCs w:val="24"/>
          <w:rtl/>
        </w:rPr>
        <w:t xml:space="preserve"> גם בהיבט הטכני</w:t>
      </w:r>
      <w:r w:rsidR="003A6583">
        <w:rPr>
          <w:rFonts w:ascii="Times New Roman" w:hAnsi="Times New Roman" w:cs="David" w:hint="cs"/>
          <w:sz w:val="24"/>
          <w:szCs w:val="24"/>
          <w:rtl/>
        </w:rPr>
        <w:t xml:space="preserve"> וכי הדיווחים נמסרים בצורה תקינה</w:t>
      </w:r>
      <w:r w:rsidR="00EC5373">
        <w:rPr>
          <w:rFonts w:ascii="Times New Roman" w:hAnsi="Times New Roman" w:cs="David" w:hint="cs"/>
          <w:sz w:val="24"/>
          <w:szCs w:val="24"/>
          <w:rtl/>
        </w:rPr>
        <w:t>.</w:t>
      </w:r>
      <w:r w:rsidR="000C763E">
        <w:rPr>
          <w:rFonts w:ascii="David" w:hAnsi="David" w:cs="David" w:hint="cs"/>
          <w:sz w:val="24"/>
          <w:szCs w:val="24"/>
          <w:rtl/>
        </w:rPr>
        <w:t xml:space="preserve"> </w:t>
      </w:r>
      <w:r w:rsidR="000C763E">
        <w:rPr>
          <w:rFonts w:ascii="Times New Roman" w:hAnsi="Times New Roman" w:cs="David" w:hint="cs"/>
          <w:sz w:val="24"/>
          <w:szCs w:val="24"/>
          <w:rtl/>
        </w:rPr>
        <w:t xml:space="preserve">ראו בעניין זה ע"פ 3395/06 </w:t>
      </w:r>
      <w:r w:rsidR="000C763E" w:rsidRPr="003B56C7">
        <w:rPr>
          <w:rFonts w:ascii="Times New Roman" w:hAnsi="Times New Roman" w:cs="David" w:hint="eastAsia"/>
          <w:b/>
          <w:bCs/>
          <w:sz w:val="24"/>
          <w:szCs w:val="24"/>
          <w:rtl/>
        </w:rPr>
        <w:t>מאיר</w:t>
      </w:r>
      <w:r w:rsidR="000C763E" w:rsidRPr="003B56C7">
        <w:rPr>
          <w:rFonts w:ascii="Times New Roman" w:hAnsi="Times New Roman" w:cs="David"/>
          <w:b/>
          <w:bCs/>
          <w:sz w:val="24"/>
          <w:szCs w:val="24"/>
          <w:rtl/>
        </w:rPr>
        <w:t xml:space="preserve"> </w:t>
      </w:r>
      <w:r w:rsidR="000C763E" w:rsidRPr="003B56C7">
        <w:rPr>
          <w:rFonts w:ascii="Times New Roman" w:hAnsi="Times New Roman" w:cs="David" w:hint="eastAsia"/>
          <w:b/>
          <w:bCs/>
          <w:sz w:val="24"/>
          <w:szCs w:val="24"/>
          <w:rtl/>
        </w:rPr>
        <w:t>כהן</w:t>
      </w:r>
      <w:r w:rsidR="000C763E" w:rsidRPr="003B56C7">
        <w:rPr>
          <w:rFonts w:ascii="Times New Roman" w:hAnsi="Times New Roman" w:cs="David"/>
          <w:b/>
          <w:bCs/>
          <w:sz w:val="24"/>
          <w:szCs w:val="24"/>
          <w:rtl/>
        </w:rPr>
        <w:t xml:space="preserve"> </w:t>
      </w:r>
      <w:r w:rsidR="000C763E" w:rsidRPr="003B56C7">
        <w:rPr>
          <w:rFonts w:ascii="Times New Roman" w:hAnsi="Times New Roman" w:cs="David" w:hint="eastAsia"/>
          <w:b/>
          <w:bCs/>
          <w:sz w:val="24"/>
          <w:szCs w:val="24"/>
          <w:rtl/>
        </w:rPr>
        <w:t>נ</w:t>
      </w:r>
      <w:r w:rsidR="000C763E" w:rsidRPr="003B56C7">
        <w:rPr>
          <w:rFonts w:ascii="Times New Roman" w:hAnsi="Times New Roman" w:cs="David"/>
          <w:b/>
          <w:bCs/>
          <w:sz w:val="24"/>
          <w:szCs w:val="24"/>
          <w:rtl/>
        </w:rPr>
        <w:t xml:space="preserve">' </w:t>
      </w:r>
      <w:r w:rsidR="000C763E" w:rsidRPr="003B56C7">
        <w:rPr>
          <w:rFonts w:ascii="Times New Roman" w:hAnsi="Times New Roman" w:cs="David" w:hint="eastAsia"/>
          <w:b/>
          <w:bCs/>
          <w:sz w:val="24"/>
          <w:szCs w:val="24"/>
          <w:rtl/>
        </w:rPr>
        <w:t>מדינת</w:t>
      </w:r>
      <w:r w:rsidR="000C763E" w:rsidRPr="003B56C7">
        <w:rPr>
          <w:rFonts w:ascii="Times New Roman" w:hAnsi="Times New Roman" w:cs="David"/>
          <w:b/>
          <w:bCs/>
          <w:sz w:val="24"/>
          <w:szCs w:val="24"/>
          <w:rtl/>
        </w:rPr>
        <w:t xml:space="preserve"> </w:t>
      </w:r>
      <w:r w:rsidR="000C763E" w:rsidRPr="003B56C7">
        <w:rPr>
          <w:rFonts w:ascii="Times New Roman" w:hAnsi="Times New Roman" w:cs="David" w:hint="eastAsia"/>
          <w:b/>
          <w:bCs/>
          <w:sz w:val="24"/>
          <w:szCs w:val="24"/>
          <w:rtl/>
        </w:rPr>
        <w:t>ישראל</w:t>
      </w:r>
      <w:r w:rsidR="000C763E">
        <w:rPr>
          <w:rFonts w:ascii="Times New Roman" w:hAnsi="Times New Roman" w:cs="David" w:hint="cs"/>
          <w:b/>
          <w:bCs/>
          <w:sz w:val="24"/>
          <w:szCs w:val="24"/>
          <w:rtl/>
        </w:rPr>
        <w:t xml:space="preserve"> </w:t>
      </w:r>
      <w:r w:rsidR="000C763E" w:rsidRPr="003B56C7">
        <w:rPr>
          <w:rFonts w:ascii="Times New Roman" w:hAnsi="Times New Roman" w:cs="David"/>
          <w:sz w:val="24"/>
          <w:szCs w:val="24"/>
          <w:rtl/>
        </w:rPr>
        <w:t xml:space="preserve">(פורסם </w:t>
      </w:r>
      <w:r w:rsidR="000C763E" w:rsidRPr="003B56C7">
        <w:rPr>
          <w:rFonts w:ascii="Times New Roman" w:hAnsi="Times New Roman" w:cs="David" w:hint="eastAsia"/>
          <w:sz w:val="24"/>
          <w:szCs w:val="24"/>
          <w:rtl/>
        </w:rPr>
        <w:t>בנבו</w:t>
      </w:r>
      <w:r w:rsidR="000C763E" w:rsidRPr="003B56C7">
        <w:rPr>
          <w:rFonts w:ascii="Times New Roman" w:hAnsi="Times New Roman" w:cs="David"/>
          <w:sz w:val="24"/>
          <w:szCs w:val="24"/>
          <w:rtl/>
        </w:rPr>
        <w:t>, 30.4.07)</w:t>
      </w:r>
      <w:r w:rsidR="000C763E" w:rsidRPr="00B32989">
        <w:rPr>
          <w:rFonts w:ascii="Times New Roman" w:hAnsi="Times New Roman" w:cs="David" w:hint="cs"/>
          <w:sz w:val="24"/>
          <w:szCs w:val="24"/>
          <w:rtl/>
        </w:rPr>
        <w:t>.</w:t>
      </w:r>
      <w:r w:rsidR="000C763E" w:rsidRPr="00C927C5">
        <w:rPr>
          <w:rFonts w:ascii="David" w:hAnsi="David" w:cs="David" w:hint="cs"/>
          <w:sz w:val="24"/>
          <w:szCs w:val="24"/>
          <w:rtl/>
        </w:rPr>
        <w:t xml:space="preserve"> </w:t>
      </w:r>
    </w:p>
    <w:p w:rsidR="00257DCE" w:rsidRPr="000C763E" w:rsidRDefault="00747955" w:rsidP="00301B2C">
      <w:pPr>
        <w:pStyle w:val="a4"/>
        <w:numPr>
          <w:ilvl w:val="0"/>
          <w:numId w:val="20"/>
        </w:numPr>
        <w:spacing w:before="120" w:after="120" w:line="360" w:lineRule="auto"/>
        <w:ind w:left="714" w:hanging="357"/>
        <w:contextualSpacing w:val="0"/>
        <w:jc w:val="both"/>
        <w:rPr>
          <w:rFonts w:ascii="David" w:hAnsi="David" w:cs="David"/>
          <w:sz w:val="24"/>
          <w:szCs w:val="24"/>
          <w:rtl/>
        </w:rPr>
      </w:pPr>
      <w:r>
        <w:rPr>
          <w:rFonts w:ascii="David" w:hAnsi="David" w:cs="David" w:hint="cs"/>
          <w:sz w:val="24"/>
          <w:szCs w:val="24"/>
          <w:rtl/>
        </w:rPr>
        <w:t>ביחס לשיקים</w:t>
      </w:r>
      <w:r w:rsidR="001510AE">
        <w:rPr>
          <w:rFonts w:ascii="David" w:hAnsi="David" w:cs="David" w:hint="cs"/>
          <w:sz w:val="24"/>
          <w:szCs w:val="24"/>
          <w:rtl/>
        </w:rPr>
        <w:t xml:space="preserve"> </w:t>
      </w:r>
      <w:r>
        <w:rPr>
          <w:rFonts w:ascii="David" w:hAnsi="David" w:cs="David" w:hint="cs"/>
          <w:sz w:val="24"/>
          <w:szCs w:val="24"/>
          <w:rtl/>
        </w:rPr>
        <w:t>מיום</w:t>
      </w:r>
      <w:r w:rsidR="001510AE">
        <w:rPr>
          <w:rFonts w:ascii="David" w:hAnsi="David" w:cs="David" w:hint="cs"/>
          <w:sz w:val="24"/>
          <w:szCs w:val="24"/>
          <w:rtl/>
        </w:rPr>
        <w:t>10.11.21 ו</w:t>
      </w:r>
      <w:r>
        <w:rPr>
          <w:rFonts w:ascii="David" w:hAnsi="David" w:cs="David" w:hint="cs"/>
          <w:sz w:val="24"/>
          <w:szCs w:val="24"/>
          <w:rtl/>
        </w:rPr>
        <w:t xml:space="preserve">מיום </w:t>
      </w:r>
      <w:r w:rsidR="001510AE">
        <w:rPr>
          <w:rFonts w:ascii="David" w:hAnsi="David" w:cs="David" w:hint="cs"/>
          <w:sz w:val="24"/>
          <w:szCs w:val="24"/>
          <w:rtl/>
        </w:rPr>
        <w:t>6.12.21</w:t>
      </w:r>
      <w:r>
        <w:rPr>
          <w:rFonts w:ascii="David" w:hAnsi="David" w:cs="David" w:hint="cs"/>
          <w:sz w:val="24"/>
          <w:szCs w:val="24"/>
          <w:rtl/>
        </w:rPr>
        <w:t xml:space="preserve"> בגינם נטען כי לא בוצעה פעולת ניכיון</w:t>
      </w:r>
      <w:r w:rsidR="001510AE">
        <w:rPr>
          <w:rFonts w:ascii="David" w:hAnsi="David" w:cs="David" w:hint="cs"/>
          <w:sz w:val="24"/>
          <w:szCs w:val="24"/>
          <w:rtl/>
        </w:rPr>
        <w:t xml:space="preserve"> </w:t>
      </w:r>
      <w:r w:rsidR="001510AE">
        <w:rPr>
          <w:rFonts w:ascii="David" w:hAnsi="David" w:cs="David"/>
          <w:sz w:val="24"/>
          <w:szCs w:val="24"/>
          <w:rtl/>
        </w:rPr>
        <w:t>–</w:t>
      </w:r>
      <w:r w:rsidR="006E1C0E">
        <w:rPr>
          <w:rFonts w:ascii="David" w:hAnsi="David" w:cs="David" w:hint="cs"/>
          <w:sz w:val="24"/>
          <w:szCs w:val="24"/>
          <w:rtl/>
        </w:rPr>
        <w:t xml:space="preserve"> </w:t>
      </w:r>
      <w:r w:rsidR="00D17DE4">
        <w:rPr>
          <w:rFonts w:ascii="David" w:hAnsi="David" w:cs="David" w:hint="cs"/>
          <w:sz w:val="24"/>
          <w:szCs w:val="24"/>
          <w:rtl/>
        </w:rPr>
        <w:t xml:space="preserve">הוועדה דוחה את </w:t>
      </w:r>
      <w:r w:rsidR="008D1E45">
        <w:rPr>
          <w:rFonts w:ascii="David" w:hAnsi="David" w:cs="David" w:hint="cs"/>
          <w:sz w:val="24"/>
          <w:szCs w:val="24"/>
          <w:rtl/>
        </w:rPr>
        <w:t>טענות החברה וקובעת כי החברה הפרה את הוראות הצו</w:t>
      </w:r>
      <w:r w:rsidR="00D17DE4">
        <w:rPr>
          <w:rFonts w:ascii="David" w:hAnsi="David" w:cs="David" w:hint="cs"/>
          <w:sz w:val="24"/>
          <w:szCs w:val="24"/>
          <w:rtl/>
        </w:rPr>
        <w:t xml:space="preserve">. </w:t>
      </w:r>
      <w:r w:rsidR="006E1C0E">
        <w:rPr>
          <w:rFonts w:ascii="David" w:hAnsi="David" w:cs="David" w:hint="cs"/>
          <w:sz w:val="24"/>
          <w:szCs w:val="24"/>
          <w:rtl/>
        </w:rPr>
        <w:t>ראשית,</w:t>
      </w:r>
      <w:r w:rsidR="001510AE">
        <w:rPr>
          <w:rFonts w:ascii="David" w:hAnsi="David" w:cs="David" w:hint="cs"/>
          <w:sz w:val="24"/>
          <w:szCs w:val="24"/>
          <w:rtl/>
        </w:rPr>
        <w:t xml:space="preserve"> </w:t>
      </w:r>
      <w:r w:rsidR="0035457E">
        <w:rPr>
          <w:rFonts w:ascii="David" w:hAnsi="David" w:cs="David" w:hint="cs"/>
          <w:sz w:val="24"/>
          <w:szCs w:val="24"/>
          <w:rtl/>
        </w:rPr>
        <w:t xml:space="preserve">הוועדה </w:t>
      </w:r>
      <w:r w:rsidR="006E1C0E">
        <w:rPr>
          <w:rFonts w:ascii="David" w:hAnsi="David" w:cs="David" w:hint="cs"/>
          <w:sz w:val="24"/>
          <w:szCs w:val="24"/>
          <w:rtl/>
        </w:rPr>
        <w:t>מבקשת להזכיר</w:t>
      </w:r>
      <w:r w:rsidR="0035457E">
        <w:rPr>
          <w:rFonts w:ascii="David" w:hAnsi="David" w:cs="David" w:hint="cs"/>
          <w:sz w:val="24"/>
          <w:szCs w:val="24"/>
          <w:rtl/>
        </w:rPr>
        <w:t xml:space="preserve"> כי</w:t>
      </w:r>
      <w:r w:rsidR="001510AE">
        <w:rPr>
          <w:rFonts w:ascii="David" w:hAnsi="David" w:cs="David" w:hint="cs"/>
          <w:sz w:val="24"/>
          <w:szCs w:val="24"/>
          <w:rtl/>
        </w:rPr>
        <w:t xml:space="preserve"> </w:t>
      </w:r>
      <w:r w:rsidR="0035457E">
        <w:rPr>
          <w:rFonts w:ascii="David" w:hAnsi="David" w:cs="David" w:hint="cs"/>
          <w:sz w:val="24"/>
          <w:szCs w:val="24"/>
          <w:rtl/>
        </w:rPr>
        <w:t>במסגרת ההודעה המוסכמת שהוגשה לוועדה הכוללת את</w:t>
      </w:r>
      <w:r w:rsidR="001510AE">
        <w:rPr>
          <w:rFonts w:ascii="David" w:hAnsi="David" w:cs="David" w:hint="cs"/>
          <w:sz w:val="24"/>
          <w:szCs w:val="24"/>
          <w:rtl/>
        </w:rPr>
        <w:t xml:space="preserve"> העובדות </w:t>
      </w:r>
      <w:r w:rsidR="0035457E">
        <w:rPr>
          <w:rFonts w:ascii="David" w:hAnsi="David" w:cs="David" w:hint="cs"/>
          <w:sz w:val="24"/>
          <w:szCs w:val="24"/>
          <w:rtl/>
        </w:rPr>
        <w:t xml:space="preserve">עליהן הסכימו החברה והפרקליטות צוין כי החברה לא דיווחה על שיקים אלה בהתאם לסעיף 11 לצו.  </w:t>
      </w:r>
      <w:r w:rsidR="006E1C0E">
        <w:rPr>
          <w:rFonts w:ascii="David" w:hAnsi="David" w:cs="David" w:hint="cs"/>
          <w:sz w:val="24"/>
          <w:szCs w:val="24"/>
          <w:rtl/>
        </w:rPr>
        <w:t xml:space="preserve">משכך, לא ברורה הטענה כאילו לא היה צורך בדיווח בעניין. מעבר לכך, לא </w:t>
      </w:r>
      <w:r w:rsidR="008D1E45">
        <w:rPr>
          <w:rFonts w:ascii="David" w:hAnsi="David" w:cs="David" w:hint="cs"/>
          <w:sz w:val="24"/>
          <w:szCs w:val="24"/>
          <w:rtl/>
        </w:rPr>
        <w:t>מקובלת</w:t>
      </w:r>
      <w:r w:rsidR="006E1C0E">
        <w:rPr>
          <w:rFonts w:ascii="David" w:hAnsi="David" w:cs="David" w:hint="cs"/>
          <w:sz w:val="24"/>
          <w:szCs w:val="24"/>
          <w:rtl/>
        </w:rPr>
        <w:t xml:space="preserve"> הטענה כי ביחס לשיקים אלו נבחנה "היתכנות למתן הלוואה" ולא בוצעה עסקת אשראי חייבת בדיווח משום שלפי הטענה לא נמסרה תמורה בגינם. </w:t>
      </w:r>
      <w:r w:rsidR="00D17DE4">
        <w:rPr>
          <w:rFonts w:ascii="David" w:hAnsi="David" w:cs="David" w:hint="cs"/>
          <w:sz w:val="24"/>
          <w:szCs w:val="24"/>
          <w:rtl/>
        </w:rPr>
        <w:t>כידוע, במסגרת עסקת אשראי</w:t>
      </w:r>
      <w:r w:rsidR="001F791C">
        <w:rPr>
          <w:rFonts w:ascii="David" w:hAnsi="David" w:cs="David" w:hint="cs"/>
          <w:sz w:val="24"/>
          <w:szCs w:val="24"/>
          <w:rtl/>
        </w:rPr>
        <w:t xml:space="preserve"> </w:t>
      </w:r>
      <w:r w:rsidR="00D17DE4">
        <w:rPr>
          <w:rFonts w:ascii="David" w:hAnsi="David" w:cs="David" w:hint="cs"/>
          <w:sz w:val="24"/>
          <w:szCs w:val="24"/>
          <w:rtl/>
        </w:rPr>
        <w:t>ניתן למסור</w:t>
      </w:r>
      <w:r w:rsidR="001F791C">
        <w:rPr>
          <w:rFonts w:ascii="David" w:hAnsi="David" w:cs="David" w:hint="cs"/>
          <w:sz w:val="24"/>
          <w:szCs w:val="24"/>
          <w:rtl/>
        </w:rPr>
        <w:t xml:space="preserve"> לנותן שירותים פיננסים שיק </w:t>
      </w:r>
      <w:r w:rsidR="00D17DE4">
        <w:rPr>
          <w:rFonts w:ascii="David" w:hAnsi="David" w:cs="David" w:hint="cs"/>
          <w:sz w:val="24"/>
          <w:szCs w:val="24"/>
          <w:rtl/>
        </w:rPr>
        <w:t>כאשר</w:t>
      </w:r>
      <w:r w:rsidR="001F791C">
        <w:rPr>
          <w:rFonts w:ascii="David" w:hAnsi="David" w:cs="David" w:hint="cs"/>
          <w:sz w:val="24"/>
          <w:szCs w:val="24"/>
          <w:rtl/>
        </w:rPr>
        <w:t xml:space="preserve"> התמורה בגינו נקבעת להימסר במועד מאוחר יותר. </w:t>
      </w:r>
    </w:p>
    <w:p w:rsidR="00D17DE4" w:rsidRPr="001970B4" w:rsidRDefault="00747955" w:rsidP="008569D6">
      <w:pPr>
        <w:pStyle w:val="a4"/>
        <w:numPr>
          <w:ilvl w:val="0"/>
          <w:numId w:val="20"/>
        </w:numPr>
        <w:spacing w:before="120" w:after="120" w:line="360" w:lineRule="auto"/>
        <w:ind w:left="714" w:hanging="357"/>
        <w:contextualSpacing w:val="0"/>
        <w:jc w:val="both"/>
        <w:rPr>
          <w:rFonts w:ascii="David" w:hAnsi="David" w:cs="David"/>
          <w:sz w:val="24"/>
          <w:szCs w:val="24"/>
        </w:rPr>
      </w:pPr>
      <w:r w:rsidRPr="001970B4">
        <w:rPr>
          <w:rFonts w:ascii="David" w:hAnsi="David" w:cs="David" w:hint="cs"/>
          <w:sz w:val="24"/>
          <w:szCs w:val="24"/>
          <w:rtl/>
        </w:rPr>
        <w:lastRenderedPageBreak/>
        <w:t>ביחס לשיקים שניתנו</w:t>
      </w:r>
      <w:r w:rsidR="00257DCE" w:rsidRPr="001970B4">
        <w:rPr>
          <w:rFonts w:ascii="David" w:hAnsi="David" w:cs="David" w:hint="cs"/>
          <w:sz w:val="24"/>
          <w:szCs w:val="24"/>
          <w:rtl/>
        </w:rPr>
        <w:t xml:space="preserve"> או הוחלפו</w:t>
      </w:r>
      <w:r w:rsidRPr="001970B4">
        <w:rPr>
          <w:rFonts w:ascii="David" w:hAnsi="David" w:cs="David" w:hint="cs"/>
          <w:sz w:val="24"/>
          <w:szCs w:val="24"/>
          <w:rtl/>
        </w:rPr>
        <w:t xml:space="preserve"> במסגרת הסדרי חוב </w:t>
      </w:r>
      <w:r w:rsidRPr="001970B4">
        <w:rPr>
          <w:rFonts w:ascii="David" w:hAnsi="David" w:cs="David"/>
          <w:sz w:val="24"/>
          <w:szCs w:val="24"/>
          <w:rtl/>
        </w:rPr>
        <w:t>–</w:t>
      </w:r>
      <w:r w:rsidRPr="001970B4">
        <w:rPr>
          <w:rFonts w:ascii="David" w:hAnsi="David" w:cs="David" w:hint="cs"/>
          <w:sz w:val="24"/>
          <w:szCs w:val="24"/>
          <w:rtl/>
        </w:rPr>
        <w:t xml:space="preserve"> הוועדה דוחה את </w:t>
      </w:r>
      <w:r w:rsidR="008D1E45" w:rsidRPr="001970B4">
        <w:rPr>
          <w:rFonts w:ascii="David" w:hAnsi="David" w:cs="David" w:hint="cs"/>
          <w:sz w:val="24"/>
          <w:szCs w:val="24"/>
          <w:rtl/>
        </w:rPr>
        <w:t>טענות החברה וקובעת כי החברה הפרה את הוראות הצו</w:t>
      </w:r>
      <w:r w:rsidRPr="001970B4">
        <w:rPr>
          <w:rFonts w:ascii="David" w:hAnsi="David" w:cs="David" w:hint="cs"/>
          <w:sz w:val="24"/>
          <w:szCs w:val="24"/>
          <w:rtl/>
        </w:rPr>
        <w:t xml:space="preserve">. ראשית, הוועדה מבקשת להזכיר כי במסגרת ההודעה המוסכמת שהוגשה לוועדה הכוללת את העובדות עליהן הסכימו החברה והפרקליטות צוין כי החברה לא דיווחה על שיקים אלה בהתאם לסעיף 11 לצו.  משכך, לא ברורה הטענה כאילו לא היה צורך בדיווח </w:t>
      </w:r>
      <w:r w:rsidR="008569D6">
        <w:rPr>
          <w:rFonts w:ascii="David" w:hAnsi="David" w:cs="David" w:hint="cs"/>
          <w:sz w:val="24"/>
          <w:szCs w:val="24"/>
          <w:rtl/>
        </w:rPr>
        <w:t>במקרה זה</w:t>
      </w:r>
      <w:r w:rsidRPr="001970B4">
        <w:rPr>
          <w:rFonts w:ascii="David" w:hAnsi="David" w:cs="David" w:hint="cs"/>
          <w:sz w:val="24"/>
          <w:szCs w:val="24"/>
          <w:rtl/>
        </w:rPr>
        <w:t xml:space="preserve">. </w:t>
      </w:r>
      <w:r w:rsidR="008569D6">
        <w:rPr>
          <w:rFonts w:ascii="David" w:hAnsi="David" w:cs="David" w:hint="cs"/>
          <w:sz w:val="24"/>
          <w:szCs w:val="24"/>
          <w:rtl/>
        </w:rPr>
        <w:t xml:space="preserve">יצוין כי </w:t>
      </w:r>
      <w:r w:rsidR="00AD6D5B" w:rsidRPr="001970B4">
        <w:rPr>
          <w:rFonts w:ascii="David" w:hAnsi="David" w:cs="David" w:hint="cs"/>
          <w:sz w:val="24"/>
          <w:szCs w:val="24"/>
          <w:rtl/>
        </w:rPr>
        <w:t>הסדר חוב במהותו מהווה מתן אשראי חדש</w:t>
      </w:r>
      <w:r w:rsidR="008569D6">
        <w:rPr>
          <w:rFonts w:ascii="David" w:hAnsi="David" w:cs="David" w:hint="cs"/>
          <w:sz w:val="24"/>
          <w:szCs w:val="24"/>
          <w:rtl/>
        </w:rPr>
        <w:t xml:space="preserve"> ויש להעביר דיווח במקרה זה</w:t>
      </w:r>
      <w:r w:rsidR="00AD6D5B" w:rsidRPr="001970B4">
        <w:rPr>
          <w:rFonts w:ascii="David" w:hAnsi="David" w:cs="David" w:hint="cs"/>
          <w:sz w:val="24"/>
          <w:szCs w:val="24"/>
          <w:rtl/>
        </w:rPr>
        <w:t xml:space="preserve">. </w:t>
      </w:r>
      <w:r w:rsidRPr="001970B4">
        <w:rPr>
          <w:rFonts w:ascii="David" w:hAnsi="David" w:cs="David" w:hint="cs"/>
          <w:sz w:val="24"/>
          <w:szCs w:val="24"/>
          <w:rtl/>
        </w:rPr>
        <w:t>מעבר לכך,  כידוע, סעיף 12 לצו מונה את הפרטים אותם יכלול דיווח לפי סעיף 11 ובכללם פרטים הנוגעים לשיק באמצעותו בוצעה הפעולה. החלפת שיק</w:t>
      </w:r>
      <w:r w:rsidR="008569D6">
        <w:rPr>
          <w:rFonts w:ascii="David" w:hAnsi="David" w:cs="David" w:hint="cs"/>
          <w:sz w:val="24"/>
          <w:szCs w:val="24"/>
          <w:rtl/>
        </w:rPr>
        <w:t xml:space="preserve"> בשיק</w:t>
      </w:r>
      <w:r w:rsidRPr="001970B4">
        <w:rPr>
          <w:rFonts w:ascii="David" w:hAnsi="David" w:cs="David" w:hint="cs"/>
          <w:sz w:val="24"/>
          <w:szCs w:val="24"/>
          <w:rtl/>
        </w:rPr>
        <w:t xml:space="preserve"> </w:t>
      </w:r>
      <w:r w:rsidR="001970B4" w:rsidRPr="001970B4">
        <w:rPr>
          <w:rFonts w:ascii="David" w:hAnsi="David" w:cs="David" w:hint="cs"/>
          <w:sz w:val="24"/>
          <w:szCs w:val="24"/>
          <w:rtl/>
        </w:rPr>
        <w:t xml:space="preserve">מבלי דיווח </w:t>
      </w:r>
      <w:r w:rsidRPr="001970B4">
        <w:rPr>
          <w:rFonts w:ascii="David" w:hAnsi="David" w:cs="David" w:hint="cs"/>
          <w:sz w:val="24"/>
          <w:szCs w:val="24"/>
          <w:rtl/>
        </w:rPr>
        <w:t xml:space="preserve">עשויה לגרום לכך כי הדיווח שנמסר במסגרת העסקה המקורית יהיה שגוי בפרטיו. </w:t>
      </w:r>
    </w:p>
    <w:p w:rsidR="00C53810" w:rsidRDefault="00747955" w:rsidP="00BF61E8">
      <w:pPr>
        <w:pStyle w:val="a4"/>
        <w:numPr>
          <w:ilvl w:val="0"/>
          <w:numId w:val="20"/>
        </w:numPr>
        <w:spacing w:before="120" w:after="120" w:line="360" w:lineRule="auto"/>
        <w:ind w:left="714" w:hanging="357"/>
        <w:contextualSpacing w:val="0"/>
        <w:jc w:val="both"/>
        <w:rPr>
          <w:rFonts w:ascii="David" w:hAnsi="David" w:cs="David"/>
          <w:sz w:val="24"/>
          <w:szCs w:val="24"/>
          <w:rtl/>
        </w:rPr>
      </w:pPr>
      <w:r>
        <w:rPr>
          <w:rFonts w:ascii="David" w:hAnsi="David" w:cs="David" w:hint="cs"/>
          <w:sz w:val="24"/>
          <w:szCs w:val="24"/>
          <w:rtl/>
        </w:rPr>
        <w:t xml:space="preserve">במסגרת החלטת הדחייה של המפקח מיום </w:t>
      </w:r>
      <w:r w:rsidR="00376DD2">
        <w:rPr>
          <w:rFonts w:ascii="David" w:hAnsi="David" w:cs="David" w:hint="cs"/>
          <w:sz w:val="24"/>
          <w:szCs w:val="24"/>
          <w:rtl/>
        </w:rPr>
        <w:t>15.6.21</w:t>
      </w:r>
      <w:r>
        <w:rPr>
          <w:rFonts w:ascii="David" w:hAnsi="David" w:cs="David" w:hint="cs"/>
          <w:sz w:val="24"/>
          <w:szCs w:val="24"/>
          <w:rtl/>
        </w:rPr>
        <w:t xml:space="preserve"> ניתנו לחברה 60 ימים לחיסול עסקים, החברה לא הגישה בקשה להאריך את המועד לחסל את עסקיה מעבר למועד זה, כך שכל פעילות שביצעה החברה</w:t>
      </w:r>
      <w:r w:rsidR="00BF61E8">
        <w:rPr>
          <w:rFonts w:ascii="David" w:hAnsi="David" w:cs="David" w:hint="cs"/>
          <w:sz w:val="24"/>
          <w:szCs w:val="24"/>
          <w:rtl/>
        </w:rPr>
        <w:t xml:space="preserve"> בחיסול עסקיה</w:t>
      </w:r>
      <w:r>
        <w:rPr>
          <w:rFonts w:ascii="David" w:hAnsi="David" w:cs="David" w:hint="cs"/>
          <w:sz w:val="24"/>
          <w:szCs w:val="24"/>
          <w:rtl/>
        </w:rPr>
        <w:t xml:space="preserve"> מעבר למועד זה נעשתה בלא רישיון </w:t>
      </w:r>
      <w:r w:rsidR="003A6583">
        <w:rPr>
          <w:rFonts w:ascii="David" w:hAnsi="David" w:cs="David" w:hint="cs"/>
          <w:sz w:val="24"/>
          <w:szCs w:val="24"/>
          <w:rtl/>
        </w:rPr>
        <w:t xml:space="preserve">ובלא היתר מאת המפקח </w:t>
      </w:r>
      <w:r>
        <w:rPr>
          <w:rFonts w:ascii="David" w:hAnsi="David" w:cs="David" w:hint="cs"/>
          <w:sz w:val="24"/>
          <w:szCs w:val="24"/>
          <w:rtl/>
        </w:rPr>
        <w:t>והוועדה רואה זאת בחומרה.</w:t>
      </w:r>
    </w:p>
    <w:p w:rsidR="00DA5373" w:rsidRPr="00117664" w:rsidRDefault="00747955" w:rsidP="00BF61E8">
      <w:pPr>
        <w:pStyle w:val="a"/>
        <w:keepLines w:val="0"/>
        <w:widowControl w:val="0"/>
        <w:numPr>
          <w:ilvl w:val="0"/>
          <w:numId w:val="20"/>
        </w:numPr>
        <w:tabs>
          <w:tab w:val="left" w:pos="720"/>
        </w:tabs>
        <w:overflowPunct w:val="0"/>
        <w:autoSpaceDE w:val="0"/>
        <w:autoSpaceDN w:val="0"/>
        <w:adjustRightInd w:val="0"/>
        <w:spacing w:after="160"/>
        <w:contextualSpacing w:val="0"/>
        <w:textAlignment w:val="baseline"/>
        <w:rPr>
          <w:rtl/>
        </w:rPr>
      </w:pPr>
      <w:r w:rsidRPr="00117664">
        <w:rPr>
          <w:rFonts w:hint="cs"/>
          <w:rtl/>
        </w:rPr>
        <w:t xml:space="preserve">הפסיקה עמדה זה מכבר על חשיבותה של חובת הדיווח וקבעה כי מדובר בחובה </w:t>
      </w:r>
      <w:r w:rsidRPr="00117664">
        <w:rPr>
          <w:rFonts w:hint="cs"/>
          <w:sz w:val="24"/>
          <w:rtl/>
        </w:rPr>
        <w:t>ש</w:t>
      </w:r>
      <w:r w:rsidRPr="00117664">
        <w:rPr>
          <w:sz w:val="24"/>
          <w:rtl/>
        </w:rPr>
        <w:t>עומדת בבסיס תכליתו של חוק איסור הלבנת הון</w:t>
      </w:r>
      <w:r w:rsidRPr="00117664">
        <w:rPr>
          <w:rFonts w:hint="cs"/>
          <w:sz w:val="24"/>
          <w:rtl/>
        </w:rPr>
        <w:t xml:space="preserve"> ולא </w:t>
      </w:r>
      <w:r w:rsidRPr="00117664">
        <w:rPr>
          <w:sz w:val="24"/>
          <w:rtl/>
        </w:rPr>
        <w:t>בחובה טכנית פרוצדורלית</w:t>
      </w:r>
      <w:r w:rsidRPr="00117664">
        <w:rPr>
          <w:rFonts w:hint="cs"/>
          <w:sz w:val="24"/>
          <w:rtl/>
        </w:rPr>
        <w:t>. הדיווח הוא</w:t>
      </w:r>
      <w:r w:rsidRPr="00117664">
        <w:rPr>
          <w:sz w:val="24"/>
          <w:rtl/>
        </w:rPr>
        <w:t xml:space="preserve"> </w:t>
      </w:r>
      <w:r w:rsidRPr="00117664">
        <w:rPr>
          <w:rFonts w:hint="cs"/>
          <w:sz w:val="24"/>
          <w:rtl/>
        </w:rPr>
        <w:t xml:space="preserve">אחד הכלים העיקריים במאבק </w:t>
      </w:r>
      <w:r w:rsidRPr="00117664">
        <w:rPr>
          <w:sz w:val="24"/>
          <w:rtl/>
        </w:rPr>
        <w:t>בתופעות של הלבנת הון ומימון טרור. חוב</w:t>
      </w:r>
      <w:r w:rsidRPr="00117664">
        <w:rPr>
          <w:rFonts w:hint="cs"/>
          <w:sz w:val="24"/>
          <w:rtl/>
        </w:rPr>
        <w:t xml:space="preserve">ה זו נועדה </w:t>
      </w:r>
      <w:r w:rsidRPr="00117664">
        <w:rPr>
          <w:sz w:val="24"/>
          <w:rtl/>
        </w:rPr>
        <w:t xml:space="preserve">לסייע לגורמי האכיפה להתחקות באופן אפקטיבי אחר </w:t>
      </w:r>
      <w:r w:rsidRPr="00117664">
        <w:rPr>
          <w:rFonts w:hint="cs"/>
          <w:sz w:val="24"/>
          <w:rtl/>
        </w:rPr>
        <w:t xml:space="preserve">המקור של </w:t>
      </w:r>
      <w:r w:rsidRPr="00117664">
        <w:rPr>
          <w:sz w:val="24"/>
          <w:rtl/>
        </w:rPr>
        <w:t xml:space="preserve">כספים שמקורם </w:t>
      </w:r>
      <w:r w:rsidRPr="00117664">
        <w:rPr>
          <w:rFonts w:hint="cs"/>
          <w:sz w:val="24"/>
          <w:rtl/>
        </w:rPr>
        <w:t>ב</w:t>
      </w:r>
      <w:r w:rsidRPr="00117664">
        <w:rPr>
          <w:sz w:val="24"/>
          <w:rtl/>
        </w:rPr>
        <w:t>פשיעה או שנועדו למימון טרור.</w:t>
      </w:r>
      <w:r w:rsidRPr="00117664">
        <w:rPr>
          <w:rFonts w:hint="cs"/>
          <w:sz w:val="24"/>
          <w:rtl/>
        </w:rPr>
        <w:t xml:space="preserve"> הפרות </w:t>
      </w:r>
      <w:r w:rsidRPr="00117664">
        <w:rPr>
          <w:sz w:val="24"/>
          <w:rtl/>
        </w:rPr>
        <w:t xml:space="preserve">חובות הדיווח </w:t>
      </w:r>
      <w:r w:rsidRPr="00117664">
        <w:rPr>
          <w:rFonts w:hint="cs"/>
          <w:sz w:val="24"/>
          <w:rtl/>
        </w:rPr>
        <w:t xml:space="preserve">מקשות על </w:t>
      </w:r>
      <w:r w:rsidRPr="00117664">
        <w:rPr>
          <w:sz w:val="24"/>
          <w:rtl/>
        </w:rPr>
        <w:t xml:space="preserve">איתור </w:t>
      </w:r>
      <w:r w:rsidRPr="00117664">
        <w:rPr>
          <w:rFonts w:hint="cs"/>
          <w:sz w:val="24"/>
          <w:rtl/>
        </w:rPr>
        <w:t xml:space="preserve">העברות הכספים החשודות </w:t>
      </w:r>
      <w:r w:rsidRPr="00117664">
        <w:rPr>
          <w:sz w:val="24"/>
          <w:rtl/>
        </w:rPr>
        <w:t xml:space="preserve">ובכך </w:t>
      </w:r>
      <w:r w:rsidRPr="00117664">
        <w:rPr>
          <w:rFonts w:hint="cs"/>
          <w:sz w:val="24"/>
          <w:rtl/>
        </w:rPr>
        <w:t xml:space="preserve">חותרות </w:t>
      </w:r>
      <w:r w:rsidRPr="00117664">
        <w:rPr>
          <w:sz w:val="24"/>
          <w:rtl/>
        </w:rPr>
        <w:t>תחת עבודת רשויות האכיפה ומימוש תכלית החוק.</w:t>
      </w:r>
      <w:r w:rsidRPr="00117664">
        <w:rPr>
          <w:rFonts w:hint="cs"/>
          <w:rtl/>
        </w:rPr>
        <w:t xml:space="preserve"> </w:t>
      </w:r>
      <w:r w:rsidRPr="00117664">
        <w:rPr>
          <w:rFonts w:hint="cs"/>
          <w:sz w:val="24"/>
          <w:rtl/>
        </w:rPr>
        <w:t>עמד על חשיבותן של חובות הדיווח כבוד השופט חשין, ב</w:t>
      </w:r>
      <w:r w:rsidRPr="00117664">
        <w:rPr>
          <w:sz w:val="24"/>
          <w:rtl/>
        </w:rPr>
        <w:t xml:space="preserve">ע"א 9796/03 </w:t>
      </w:r>
      <w:r w:rsidRPr="00117664">
        <w:rPr>
          <w:b/>
          <w:bCs/>
          <w:sz w:val="24"/>
          <w:rtl/>
        </w:rPr>
        <w:t>שם טוב נ' מדינת ישראל</w:t>
      </w:r>
      <w:r w:rsidRPr="00117664">
        <w:rPr>
          <w:sz w:val="24"/>
          <w:rtl/>
        </w:rPr>
        <w:t>, פ"ד נט(5) 397</w:t>
      </w:r>
      <w:r w:rsidRPr="00117664">
        <w:rPr>
          <w:rFonts w:hint="cs"/>
          <w:sz w:val="24"/>
          <w:rtl/>
        </w:rPr>
        <w:t xml:space="preserve"> (2005), בפסקה 26:</w:t>
      </w:r>
    </w:p>
    <w:p w:rsidR="00DA5373" w:rsidRPr="00117664" w:rsidRDefault="00747955" w:rsidP="006C1D2D">
      <w:pPr>
        <w:pStyle w:val="a"/>
        <w:keepLines w:val="0"/>
        <w:widowControl w:val="0"/>
        <w:numPr>
          <w:ilvl w:val="0"/>
          <w:numId w:val="0"/>
        </w:numPr>
        <w:tabs>
          <w:tab w:val="left" w:pos="7597"/>
          <w:tab w:val="left" w:pos="7880"/>
        </w:tabs>
        <w:overflowPunct w:val="0"/>
        <w:autoSpaceDE w:val="0"/>
        <w:autoSpaceDN w:val="0"/>
        <w:adjustRightInd w:val="0"/>
        <w:spacing w:before="120" w:after="120"/>
        <w:ind w:left="1077" w:right="567"/>
        <w:contextualSpacing w:val="0"/>
        <w:textAlignment w:val="baseline"/>
        <w:rPr>
          <w:rFonts w:ascii="David" w:hAnsi="David"/>
          <w:i/>
          <w:iCs/>
          <w:sz w:val="24"/>
        </w:rPr>
      </w:pPr>
      <w:r w:rsidRPr="00117664">
        <w:rPr>
          <w:i/>
          <w:iCs/>
          <w:rtl/>
        </w:rPr>
        <w:t>"על חשיבותה של חובת הדיווח כנדבך מרכזי במלחמה בהון השחור יעיד הטיפול הדקדקני והנרחב בה בחוק, ובעקבות החוק – בהקמת מנגנון הדיווח אשר הוקם. אכן, הדיווח הוא אמצעי ולא מטרה, אך המדובר הוא באמצעי אשר בלעדיו ייגרע עיקרו של החוק ... טול מחוק איסור הלבנה את חובת הדיווח – ונטלת ממנו את נשמתו"</w:t>
      </w:r>
      <w:r>
        <w:rPr>
          <w:rStyle w:val="ae"/>
          <w:i/>
          <w:iCs/>
          <w:rtl/>
        </w:rPr>
        <w:footnoteReference w:id="1"/>
      </w:r>
      <w:r w:rsidRPr="00117664">
        <w:rPr>
          <w:i/>
          <w:iCs/>
          <w:rtl/>
        </w:rPr>
        <w:t>.</w:t>
      </w:r>
    </w:p>
    <w:p w:rsidR="00A7291C" w:rsidRPr="00117664" w:rsidRDefault="00747955" w:rsidP="00BF61E8">
      <w:pPr>
        <w:pStyle w:val="a4"/>
        <w:numPr>
          <w:ilvl w:val="0"/>
          <w:numId w:val="20"/>
        </w:numPr>
        <w:tabs>
          <w:tab w:val="left" w:pos="793"/>
        </w:tabs>
        <w:spacing w:before="120" w:after="120" w:line="360" w:lineRule="auto"/>
        <w:contextualSpacing w:val="0"/>
        <w:jc w:val="both"/>
        <w:rPr>
          <w:rFonts w:ascii="David" w:hAnsi="David" w:cs="David"/>
          <w:sz w:val="24"/>
          <w:szCs w:val="24"/>
        </w:rPr>
      </w:pPr>
      <w:r w:rsidRPr="00117664">
        <w:rPr>
          <w:rFonts w:ascii="David" w:hAnsi="David" w:cs="David"/>
          <w:sz w:val="24"/>
          <w:szCs w:val="24"/>
          <w:rtl/>
        </w:rPr>
        <w:t>בהתאם לסעיף 14(א) לחוק, רשאית הוועדה להטיל על מפר</w:t>
      </w:r>
      <w:r w:rsidRPr="00117664">
        <w:rPr>
          <w:rFonts w:ascii="David" w:hAnsi="David" w:cs="David" w:hint="cs"/>
          <w:sz w:val="24"/>
          <w:szCs w:val="24"/>
          <w:rtl/>
        </w:rPr>
        <w:t xml:space="preserve">ים </w:t>
      </w:r>
      <w:r w:rsidRPr="00117664">
        <w:rPr>
          <w:rFonts w:ascii="David" w:hAnsi="David" w:cs="David"/>
          <w:sz w:val="24"/>
          <w:szCs w:val="24"/>
          <w:rtl/>
        </w:rPr>
        <w:t>בכל הפרה לפי סעיף 7 לחוק עיצום כספי בשיעור שלא יעלה על פי עשרה מהקנס הקבוע בסעיף 61(א</w:t>
      </w:r>
      <w:r w:rsidRPr="00117664">
        <w:rPr>
          <w:rFonts w:ascii="David" w:hAnsi="David" w:cs="David" w:hint="cs"/>
          <w:sz w:val="24"/>
          <w:szCs w:val="24"/>
          <w:rtl/>
        </w:rPr>
        <w:t>)(4</w:t>
      </w:r>
      <w:r w:rsidRPr="00117664">
        <w:rPr>
          <w:rFonts w:ascii="David" w:hAnsi="David" w:cs="David"/>
          <w:sz w:val="24"/>
          <w:szCs w:val="24"/>
          <w:rtl/>
        </w:rPr>
        <w:t>)</w:t>
      </w:r>
      <w:r w:rsidRPr="00117664">
        <w:rPr>
          <w:rFonts w:ascii="David" w:hAnsi="David" w:cs="David" w:hint="cs"/>
          <w:sz w:val="24"/>
          <w:szCs w:val="24"/>
          <w:rtl/>
        </w:rPr>
        <w:t xml:space="preserve"> </w:t>
      </w:r>
      <w:r w:rsidRPr="00117664">
        <w:rPr>
          <w:rFonts w:ascii="David" w:hAnsi="David" w:cs="David"/>
          <w:sz w:val="24"/>
          <w:szCs w:val="24"/>
          <w:rtl/>
        </w:rPr>
        <w:t xml:space="preserve">לחוק העונשין, התשל"ז-1977 ומחצית או רבע מסכום זה בהתקיים הנסיבות </w:t>
      </w:r>
      <w:r w:rsidRPr="00117664">
        <w:rPr>
          <w:rFonts w:ascii="David" w:hAnsi="David" w:cs="David" w:hint="cs"/>
          <w:sz w:val="24"/>
          <w:szCs w:val="24"/>
          <w:rtl/>
        </w:rPr>
        <w:t>ש</w:t>
      </w:r>
      <w:r w:rsidRPr="00117664">
        <w:rPr>
          <w:rFonts w:ascii="David" w:hAnsi="David" w:cs="David"/>
          <w:sz w:val="24"/>
          <w:szCs w:val="24"/>
          <w:rtl/>
        </w:rPr>
        <w:t xml:space="preserve">מפורטות בתקנה 11 לתקנות איסור הלבנת הון </w:t>
      </w:r>
      <w:r w:rsidRPr="00117664">
        <w:rPr>
          <w:rFonts w:ascii="David" w:hAnsi="David" w:cs="David" w:hint="cs"/>
          <w:sz w:val="24"/>
          <w:szCs w:val="24"/>
          <w:rtl/>
        </w:rPr>
        <w:t>(</w:t>
      </w:r>
      <w:r w:rsidRPr="00117664">
        <w:rPr>
          <w:rFonts w:ascii="David" w:hAnsi="David" w:cs="David"/>
          <w:sz w:val="24"/>
          <w:szCs w:val="24"/>
          <w:rtl/>
        </w:rPr>
        <w:t>עיצום כספי</w:t>
      </w:r>
      <w:r w:rsidRPr="00117664">
        <w:rPr>
          <w:rFonts w:ascii="David" w:hAnsi="David" w:cs="David"/>
          <w:sz w:val="24"/>
          <w:szCs w:val="24"/>
        </w:rPr>
        <w:t>(</w:t>
      </w:r>
      <w:r w:rsidRPr="00117664">
        <w:rPr>
          <w:rFonts w:ascii="David" w:hAnsi="David" w:cs="David" w:hint="cs"/>
          <w:sz w:val="24"/>
          <w:szCs w:val="24"/>
          <w:rtl/>
        </w:rPr>
        <w:t xml:space="preserve">, </w:t>
      </w:r>
      <w:r w:rsidRPr="00117664">
        <w:rPr>
          <w:rFonts w:ascii="David" w:hAnsi="David" w:cs="David"/>
          <w:sz w:val="24"/>
          <w:szCs w:val="24"/>
          <w:rtl/>
        </w:rPr>
        <w:t xml:space="preserve">התשס"ב-2001 </w:t>
      </w:r>
      <w:r w:rsidRPr="00117664">
        <w:rPr>
          <w:rFonts w:ascii="David" w:hAnsi="David" w:cs="David" w:hint="cs"/>
          <w:sz w:val="24"/>
          <w:szCs w:val="24"/>
          <w:rtl/>
        </w:rPr>
        <w:t>(</w:t>
      </w:r>
      <w:r w:rsidRPr="00117664">
        <w:rPr>
          <w:rFonts w:ascii="David" w:hAnsi="David" w:cs="David"/>
          <w:sz w:val="24"/>
          <w:szCs w:val="24"/>
          <w:rtl/>
        </w:rPr>
        <w:t>להלן –</w:t>
      </w:r>
      <w:r w:rsidRPr="00117664">
        <w:rPr>
          <w:rFonts w:ascii="David" w:hAnsi="David" w:cs="David" w:hint="cs"/>
          <w:sz w:val="24"/>
          <w:szCs w:val="24"/>
          <w:rtl/>
        </w:rPr>
        <w:t xml:space="preserve"> </w:t>
      </w:r>
      <w:r w:rsidRPr="00117664">
        <w:rPr>
          <w:rFonts w:ascii="David" w:hAnsi="David" w:cs="David"/>
          <w:b/>
          <w:bCs/>
          <w:sz w:val="24"/>
          <w:szCs w:val="24"/>
          <w:rtl/>
        </w:rPr>
        <w:t>תקנות עיצום כספי</w:t>
      </w:r>
      <w:r w:rsidRPr="00117664">
        <w:rPr>
          <w:rFonts w:ascii="David" w:hAnsi="David" w:cs="David"/>
          <w:sz w:val="24"/>
          <w:szCs w:val="24"/>
        </w:rPr>
        <w:t>(</w:t>
      </w:r>
      <w:r w:rsidRPr="00117664">
        <w:rPr>
          <w:rFonts w:ascii="David" w:hAnsi="David" w:cs="David" w:hint="cs"/>
          <w:sz w:val="24"/>
          <w:szCs w:val="24"/>
          <w:rtl/>
        </w:rPr>
        <w:t>.</w:t>
      </w:r>
    </w:p>
    <w:p w:rsidR="00551CEF" w:rsidRPr="00117664" w:rsidRDefault="00747955" w:rsidP="003A6583">
      <w:pPr>
        <w:pStyle w:val="a4"/>
        <w:numPr>
          <w:ilvl w:val="0"/>
          <w:numId w:val="20"/>
        </w:numPr>
        <w:tabs>
          <w:tab w:val="left" w:pos="793"/>
        </w:tabs>
        <w:spacing w:before="120" w:after="120" w:line="360" w:lineRule="auto"/>
        <w:contextualSpacing w:val="0"/>
        <w:jc w:val="both"/>
        <w:rPr>
          <w:rFonts w:ascii="David" w:hAnsi="David" w:cs="David"/>
          <w:sz w:val="24"/>
          <w:szCs w:val="24"/>
        </w:rPr>
      </w:pPr>
      <w:r w:rsidRPr="00117664">
        <w:rPr>
          <w:rFonts w:ascii="David" w:hAnsi="David" w:cs="David" w:hint="cs"/>
          <w:sz w:val="24"/>
          <w:szCs w:val="24"/>
          <w:rtl/>
        </w:rPr>
        <w:t>הוועדה פועלת לפי אמות המידה להטלת עיצום הקבועות בתקנה 9 לתקנות עיצום כספי, ולפיכך התחשבה בהיקפן</w:t>
      </w:r>
      <w:r w:rsidR="00B6505E" w:rsidRPr="00117664">
        <w:rPr>
          <w:rFonts w:ascii="David" w:hAnsi="David" w:cs="David" w:hint="cs"/>
          <w:sz w:val="24"/>
          <w:szCs w:val="24"/>
          <w:rtl/>
        </w:rPr>
        <w:t xml:space="preserve"> </w:t>
      </w:r>
      <w:r w:rsidRPr="00117664">
        <w:rPr>
          <w:rFonts w:ascii="David" w:hAnsi="David" w:cs="David" w:hint="cs"/>
          <w:sz w:val="24"/>
          <w:szCs w:val="24"/>
          <w:rtl/>
        </w:rPr>
        <w:t>של ההפרות</w:t>
      </w:r>
      <w:r w:rsidR="00B6505E" w:rsidRPr="00117664">
        <w:rPr>
          <w:rFonts w:ascii="David" w:hAnsi="David" w:cs="David" w:hint="cs"/>
          <w:sz w:val="24"/>
          <w:szCs w:val="24"/>
          <w:rtl/>
        </w:rPr>
        <w:t xml:space="preserve"> ואופיין</w:t>
      </w:r>
      <w:r w:rsidRPr="00117664">
        <w:rPr>
          <w:rFonts w:ascii="David" w:hAnsi="David" w:cs="David" w:hint="cs"/>
          <w:sz w:val="24"/>
          <w:szCs w:val="24"/>
          <w:rtl/>
        </w:rPr>
        <w:t xml:space="preserve">, על רקע נסיבות המקרה בכללותן, כפי </w:t>
      </w:r>
      <w:r w:rsidRPr="00117664">
        <w:rPr>
          <w:rFonts w:ascii="David" w:hAnsi="David" w:cs="David" w:hint="cs"/>
          <w:sz w:val="24"/>
          <w:szCs w:val="24"/>
          <w:rtl/>
        </w:rPr>
        <w:lastRenderedPageBreak/>
        <w:t xml:space="preserve">שפורטו לעיל. </w:t>
      </w:r>
      <w:r w:rsidR="00B6505E" w:rsidRPr="00117664">
        <w:rPr>
          <w:rFonts w:ascii="David" w:hAnsi="David" w:cs="David" w:hint="eastAsia"/>
          <w:sz w:val="24"/>
          <w:szCs w:val="24"/>
          <w:rtl/>
        </w:rPr>
        <w:t>הוועדה</w:t>
      </w:r>
      <w:r w:rsidR="00B6505E" w:rsidRPr="00117664">
        <w:rPr>
          <w:rFonts w:ascii="David" w:hAnsi="David" w:cs="David"/>
          <w:sz w:val="24"/>
          <w:szCs w:val="24"/>
          <w:rtl/>
        </w:rPr>
        <w:t xml:space="preserve"> </w:t>
      </w:r>
      <w:r w:rsidR="00B10A76">
        <w:rPr>
          <w:rFonts w:ascii="David" w:hAnsi="David" w:cs="David" w:hint="cs"/>
          <w:sz w:val="24"/>
          <w:szCs w:val="24"/>
          <w:rtl/>
        </w:rPr>
        <w:t xml:space="preserve">התחשבה כשיקול </w:t>
      </w:r>
      <w:proofErr w:type="spellStart"/>
      <w:r w:rsidR="00B10A76">
        <w:rPr>
          <w:rFonts w:ascii="David" w:hAnsi="David" w:cs="David" w:hint="cs"/>
          <w:sz w:val="24"/>
          <w:szCs w:val="24"/>
          <w:rtl/>
        </w:rPr>
        <w:t>לחומרא</w:t>
      </w:r>
      <w:proofErr w:type="spellEnd"/>
      <w:r w:rsidR="006D0903">
        <w:rPr>
          <w:rFonts w:ascii="David" w:hAnsi="David" w:cs="David" w:hint="cs"/>
          <w:sz w:val="24"/>
          <w:szCs w:val="24"/>
          <w:rtl/>
        </w:rPr>
        <w:t xml:space="preserve"> </w:t>
      </w:r>
      <w:r w:rsidR="00A440A8">
        <w:rPr>
          <w:rFonts w:ascii="David" w:hAnsi="David" w:cs="David" w:hint="cs"/>
          <w:sz w:val="24"/>
          <w:szCs w:val="24"/>
          <w:rtl/>
        </w:rPr>
        <w:t xml:space="preserve">את העובדה שהעסק </w:t>
      </w:r>
      <w:r w:rsidR="003A6583">
        <w:rPr>
          <w:rFonts w:ascii="David" w:hAnsi="David" w:cs="David" w:hint="cs"/>
          <w:sz w:val="24"/>
          <w:szCs w:val="24"/>
          <w:rtl/>
        </w:rPr>
        <w:t>פעל</w:t>
      </w:r>
      <w:r w:rsidR="00A440A8">
        <w:rPr>
          <w:rFonts w:ascii="David" w:hAnsi="David" w:cs="David" w:hint="cs"/>
          <w:sz w:val="24"/>
          <w:szCs w:val="24"/>
          <w:rtl/>
        </w:rPr>
        <w:t xml:space="preserve"> לאחר החלטת הדחייה של המפקח ולאחר המועד שנקצב בה לחיסול עסקים</w:t>
      </w:r>
      <w:r w:rsidR="00B10A76">
        <w:rPr>
          <w:rFonts w:ascii="David" w:hAnsi="David" w:cs="David" w:hint="cs"/>
          <w:sz w:val="24"/>
          <w:szCs w:val="24"/>
          <w:rtl/>
        </w:rPr>
        <w:t xml:space="preserve">. הוועדה שקלה </w:t>
      </w:r>
      <w:proofErr w:type="spellStart"/>
      <w:r w:rsidR="00B10A76">
        <w:rPr>
          <w:rFonts w:ascii="David" w:hAnsi="David" w:cs="David" w:hint="cs"/>
          <w:sz w:val="24"/>
          <w:szCs w:val="24"/>
          <w:rtl/>
        </w:rPr>
        <w:t>לקולא</w:t>
      </w:r>
      <w:proofErr w:type="spellEnd"/>
      <w:r w:rsidR="00B10A76">
        <w:rPr>
          <w:rFonts w:ascii="David" w:hAnsi="David" w:cs="David" w:hint="cs"/>
          <w:sz w:val="24"/>
          <w:szCs w:val="24"/>
          <w:rtl/>
        </w:rPr>
        <w:t xml:space="preserve"> את</w:t>
      </w:r>
      <w:r w:rsidR="00B6505E" w:rsidRPr="00117664">
        <w:rPr>
          <w:rFonts w:ascii="David" w:hAnsi="David" w:cs="David"/>
          <w:sz w:val="24"/>
          <w:szCs w:val="24"/>
          <w:rtl/>
        </w:rPr>
        <w:t xml:space="preserve"> </w:t>
      </w:r>
      <w:r w:rsidR="009D6B7D">
        <w:rPr>
          <w:rFonts w:ascii="David" w:hAnsi="David" w:cs="David"/>
          <w:sz w:val="24"/>
          <w:szCs w:val="24"/>
          <w:rtl/>
        </w:rPr>
        <w:t>שיתוף הפעולה של העסק</w:t>
      </w:r>
      <w:r w:rsidR="00BF61E8">
        <w:rPr>
          <w:rFonts w:ascii="David" w:hAnsi="David" w:cs="David" w:hint="cs"/>
          <w:sz w:val="24"/>
          <w:szCs w:val="24"/>
          <w:rtl/>
        </w:rPr>
        <w:t xml:space="preserve"> </w:t>
      </w:r>
      <w:r w:rsidR="00A440A8">
        <w:rPr>
          <w:rFonts w:ascii="David" w:hAnsi="David" w:cs="David" w:hint="cs"/>
          <w:sz w:val="24"/>
          <w:szCs w:val="24"/>
          <w:rtl/>
        </w:rPr>
        <w:t xml:space="preserve">ואת החיסכון במשאבי ביקורת בעקבות הודאת החברה בהפרות. </w:t>
      </w:r>
      <w:r w:rsidR="00BF61E8">
        <w:rPr>
          <w:rFonts w:ascii="David" w:hAnsi="David" w:cs="David" w:hint="cs"/>
          <w:sz w:val="24"/>
          <w:szCs w:val="24"/>
          <w:rtl/>
        </w:rPr>
        <w:t xml:space="preserve"> </w:t>
      </w:r>
    </w:p>
    <w:p w:rsidR="00551CEF" w:rsidRPr="00AB4CB1" w:rsidRDefault="00747955" w:rsidP="00944203">
      <w:pPr>
        <w:pStyle w:val="a4"/>
        <w:numPr>
          <w:ilvl w:val="0"/>
          <w:numId w:val="20"/>
        </w:numPr>
        <w:tabs>
          <w:tab w:val="left" w:pos="793"/>
        </w:tabs>
        <w:spacing w:before="120" w:after="120" w:line="360" w:lineRule="auto"/>
        <w:contextualSpacing w:val="0"/>
        <w:jc w:val="both"/>
        <w:rPr>
          <w:rFonts w:ascii="David" w:hAnsi="David" w:cs="David"/>
          <w:sz w:val="24"/>
          <w:szCs w:val="24"/>
        </w:rPr>
      </w:pPr>
      <w:r w:rsidRPr="00AB4CB1">
        <w:rPr>
          <w:rFonts w:ascii="David" w:hAnsi="David" w:cs="David"/>
          <w:sz w:val="24"/>
          <w:szCs w:val="24"/>
          <w:rtl/>
        </w:rPr>
        <w:t>לנוכח האמור, החליטה הוועד</w:t>
      </w:r>
      <w:r w:rsidR="006D6DEA">
        <w:rPr>
          <w:rFonts w:ascii="David" w:hAnsi="David" w:cs="David"/>
          <w:sz w:val="24"/>
          <w:szCs w:val="24"/>
          <w:rtl/>
        </w:rPr>
        <w:t xml:space="preserve">ה להטיל על </w:t>
      </w:r>
      <w:r w:rsidR="006C1D2D">
        <w:rPr>
          <w:rFonts w:ascii="David" w:hAnsi="David" w:cs="David" w:hint="cs"/>
          <w:sz w:val="24"/>
          <w:szCs w:val="24"/>
          <w:rtl/>
        </w:rPr>
        <w:t>החברה</w:t>
      </w:r>
      <w:r w:rsidR="006D6DEA">
        <w:rPr>
          <w:rFonts w:ascii="David" w:hAnsi="David" w:cs="David"/>
          <w:sz w:val="24"/>
          <w:szCs w:val="24"/>
          <w:rtl/>
        </w:rPr>
        <w:t xml:space="preserve"> עיצום על סך של </w:t>
      </w:r>
      <w:r w:rsidR="00944203">
        <w:rPr>
          <w:rFonts w:ascii="David" w:hAnsi="David" w:cs="David" w:hint="cs"/>
          <w:sz w:val="24"/>
          <w:szCs w:val="24"/>
          <w:rtl/>
        </w:rPr>
        <w:t>120</w:t>
      </w:r>
      <w:r w:rsidR="00A440A8">
        <w:rPr>
          <w:rFonts w:ascii="David" w:hAnsi="David" w:cs="David" w:hint="cs"/>
          <w:sz w:val="24"/>
          <w:szCs w:val="24"/>
          <w:rtl/>
        </w:rPr>
        <w:t>,000</w:t>
      </w:r>
      <w:r w:rsidR="001317A6">
        <w:rPr>
          <w:rFonts w:ascii="David" w:hAnsi="David" w:cs="David" w:hint="cs"/>
          <w:sz w:val="24"/>
          <w:szCs w:val="24"/>
          <w:rtl/>
        </w:rPr>
        <w:t xml:space="preserve"> ₪</w:t>
      </w:r>
      <w:r w:rsidR="00AB4CB1">
        <w:rPr>
          <w:rFonts w:ascii="David" w:hAnsi="David" w:cs="David" w:hint="cs"/>
          <w:sz w:val="24"/>
          <w:szCs w:val="24"/>
          <w:rtl/>
        </w:rPr>
        <w:t>.</w:t>
      </w:r>
      <w:r w:rsidRPr="00AB4CB1">
        <w:rPr>
          <w:rFonts w:ascii="David" w:hAnsi="David" w:cs="David"/>
          <w:sz w:val="24"/>
          <w:szCs w:val="24"/>
          <w:rtl/>
        </w:rPr>
        <w:t xml:space="preserve"> על פי הוראת סעיף 17 לחוק איסור הלבנת הון, התש"ס-2000, יש לשלם סכום זה בתוך 30 יום </w:t>
      </w:r>
      <w:bookmarkStart w:id="0" w:name="_GoBack"/>
      <w:r w:rsidRPr="00AB4CB1">
        <w:rPr>
          <w:rFonts w:ascii="David" w:hAnsi="David" w:cs="David"/>
          <w:sz w:val="24"/>
          <w:szCs w:val="24"/>
          <w:rtl/>
        </w:rPr>
        <w:t xml:space="preserve">מיום מסירת הדרישה. </w:t>
      </w:r>
    </w:p>
    <w:bookmarkEnd w:id="0"/>
    <w:p w:rsidR="00551CEF" w:rsidRDefault="00747955" w:rsidP="00BF61E8">
      <w:pPr>
        <w:pStyle w:val="a4"/>
        <w:numPr>
          <w:ilvl w:val="0"/>
          <w:numId w:val="20"/>
        </w:numPr>
        <w:spacing w:line="360" w:lineRule="auto"/>
        <w:jc w:val="both"/>
        <w:rPr>
          <w:rFonts w:ascii="David" w:hAnsi="David" w:cs="David"/>
          <w:sz w:val="24"/>
          <w:szCs w:val="24"/>
        </w:rPr>
      </w:pPr>
      <w:r>
        <w:rPr>
          <w:rFonts w:ascii="David" w:hAnsi="David" w:cs="David"/>
          <w:sz w:val="24"/>
          <w:szCs w:val="24"/>
          <w:rtl/>
        </w:rPr>
        <w:t>כמו כן, למפר זכות ערעור על החלטת הוועדה בפני בית משפט שלום תוך 30 ימים מיום מסירת הדרישה לתשלום העיצום הכספי</w:t>
      </w:r>
      <w:r>
        <w:rPr>
          <w:rFonts w:ascii="David" w:hAnsi="David" w:cs="David"/>
          <w:sz w:val="24"/>
          <w:szCs w:val="24"/>
        </w:rPr>
        <w:t>.</w:t>
      </w:r>
    </w:p>
    <w:p w:rsidR="003D392D" w:rsidRDefault="003D392D" w:rsidP="003D392D">
      <w:pPr>
        <w:pStyle w:val="a4"/>
        <w:spacing w:line="360" w:lineRule="auto"/>
        <w:jc w:val="both"/>
        <w:rPr>
          <w:rFonts w:ascii="David" w:hAnsi="David" w:cs="David"/>
          <w:sz w:val="24"/>
          <w:szCs w:val="24"/>
        </w:rPr>
      </w:pPr>
    </w:p>
    <w:p w:rsidR="003D392D" w:rsidRDefault="003D392D" w:rsidP="003D392D">
      <w:pPr>
        <w:pStyle w:val="a4"/>
        <w:spacing w:line="360" w:lineRule="auto"/>
        <w:jc w:val="both"/>
        <w:rPr>
          <w:rFonts w:ascii="David" w:hAnsi="David" w:cs="David"/>
          <w:sz w:val="24"/>
          <w:szCs w:val="24"/>
        </w:rPr>
      </w:pPr>
    </w:p>
    <w:p w:rsidR="003D392D" w:rsidRDefault="003D392D" w:rsidP="003D392D">
      <w:pPr>
        <w:pStyle w:val="a4"/>
        <w:spacing w:line="360" w:lineRule="auto"/>
        <w:ind w:left="360"/>
        <w:jc w:val="both"/>
        <w:rPr>
          <w:rFonts w:ascii="David" w:hAnsi="David" w:cs="David"/>
          <w:sz w:val="24"/>
          <w:szCs w:val="24"/>
          <w:rtl/>
        </w:rPr>
      </w:pPr>
      <w:r>
        <w:rPr>
          <w:rFonts w:ascii="David" w:hAnsi="David" w:cs="David"/>
          <w:noProof/>
          <w:sz w:val="24"/>
          <w:szCs w:val="24"/>
        </w:rPr>
        <w:drawing>
          <wp:inline distT="0" distB="0" distL="0" distR="0">
            <wp:extent cx="5273040" cy="1501140"/>
            <wp:effectExtent l="0" t="0" r="3810" b="3810"/>
            <wp:docPr id="2" name="תמונה 2" descr="חתימות חברי הוועדה" title="חתימות חברי הוועד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3040" cy="1501140"/>
                    </a:xfrm>
                    <a:prstGeom prst="rect">
                      <a:avLst/>
                    </a:prstGeom>
                    <a:noFill/>
                    <a:ln>
                      <a:noFill/>
                    </a:ln>
                  </pic:spPr>
                </pic:pic>
              </a:graphicData>
            </a:graphic>
          </wp:inline>
        </w:drawing>
      </w:r>
    </w:p>
    <w:sectPr w:rsidR="003D392D" w:rsidSect="000E5202">
      <w:headerReference w:type="default" r:id="rId9"/>
      <w:footerReference w:type="default" r:id="rId10"/>
      <w:headerReference w:type="first" r:id="rId11"/>
      <w:footerReference w:type="first" r:id="rId12"/>
      <w:pgSz w:w="11906" w:h="16838"/>
      <w:pgMar w:top="1440" w:right="1800" w:bottom="1440" w:left="1800" w:header="708"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7482" w:rsidRDefault="00DA7482">
      <w:pPr>
        <w:spacing w:after="0" w:line="240" w:lineRule="auto"/>
      </w:pPr>
      <w:r>
        <w:separator/>
      </w:r>
    </w:p>
  </w:endnote>
  <w:endnote w:type="continuationSeparator" w:id="0">
    <w:p w:rsidR="00DA7482" w:rsidRDefault="00DA7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onotype Hadassah">
    <w:panose1 w:val="00000000000000000000"/>
    <w:charset w:val="B1"/>
    <w:family w:val="auto"/>
    <w:pitch w:val="variable"/>
    <w:sig w:usb0="00000801" w:usb1="00000000" w:usb2="00000000" w:usb3="00000000" w:csb0="0000002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2019071712"/>
      <w:docPartObj>
        <w:docPartGallery w:val="Page Numbers (Bottom of Page)"/>
        <w:docPartUnique/>
      </w:docPartObj>
    </w:sdtPr>
    <w:sdtEndPr/>
    <w:sdtContent>
      <w:p w:rsidR="003A6583" w:rsidRDefault="00747955">
        <w:pPr>
          <w:pStyle w:val="a7"/>
          <w:jc w:val="center"/>
          <w:rPr>
            <w:rtl/>
            <w:cs/>
          </w:rPr>
        </w:pPr>
        <w:r>
          <w:fldChar w:fldCharType="begin"/>
        </w:r>
        <w:r>
          <w:rPr>
            <w:rtl/>
            <w:cs/>
          </w:rPr>
          <w:instrText>PAGE   \* MERGEFORMAT</w:instrText>
        </w:r>
        <w:r>
          <w:fldChar w:fldCharType="separate"/>
        </w:r>
        <w:r w:rsidR="00556CD8" w:rsidRPr="00556CD8">
          <w:rPr>
            <w:noProof/>
            <w:rtl/>
            <w:lang w:val="he-IL"/>
          </w:rPr>
          <w:t>5</w:t>
        </w:r>
        <w:r>
          <w:fldChar w:fldCharType="end"/>
        </w:r>
      </w:p>
    </w:sdtContent>
  </w:sdt>
  <w:p w:rsidR="003A6583" w:rsidRPr="00060494" w:rsidRDefault="003A6583" w:rsidP="00DC5806">
    <w:pPr>
      <w:pStyle w:val="a7"/>
      <w:pBdr>
        <w:top w:val="single" w:sz="4" w:space="0" w:color="auto"/>
      </w:pBdr>
      <w:tabs>
        <w:tab w:val="center" w:pos="4780"/>
        <w:tab w:val="right" w:pos="9666"/>
      </w:tabs>
      <w:spacing w:line="480" w:lineRule="auto"/>
      <w:rPr>
        <w:rFonts w:cs="Times New Roman"/>
        <w:b/>
        <w:bCs/>
        <w:sz w:val="24"/>
        <w:u w:val="single"/>
        <w:rtl/>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6583" w:rsidRPr="00060494" w:rsidRDefault="00747955" w:rsidP="000E5202">
    <w:pPr>
      <w:pStyle w:val="a7"/>
      <w:pBdr>
        <w:top w:val="single" w:sz="4" w:space="0" w:color="auto"/>
      </w:pBdr>
      <w:tabs>
        <w:tab w:val="center" w:pos="4780"/>
        <w:tab w:val="right" w:pos="9666"/>
      </w:tabs>
      <w:spacing w:line="480" w:lineRule="auto"/>
      <w:rPr>
        <w:rFonts w:cs="Times New Roman"/>
        <w:b/>
        <w:bCs/>
        <w:sz w:val="24"/>
        <w:u w:val="single"/>
        <w:rtl/>
      </w:rPr>
    </w:pPr>
    <w:r w:rsidRPr="00060494">
      <w:rPr>
        <w:rFonts w:hint="cs"/>
        <w:b/>
        <w:bCs/>
        <w:rtl/>
      </w:rPr>
      <w:t xml:space="preserve">רח' עם ועולמו 4 ירושלים </w:t>
    </w:r>
    <w:r w:rsidRPr="00060494">
      <w:rPr>
        <w:b/>
        <w:bCs/>
        <w:rtl/>
      </w:rPr>
      <w:t>9546304</w:t>
    </w:r>
    <w:r w:rsidRPr="00060494">
      <w:rPr>
        <w:rFonts w:hint="cs"/>
        <w:b/>
        <w:bCs/>
        <w:rtl/>
      </w:rPr>
      <w:t xml:space="preserve"> טל': 02-5317248 פקס': 02-5695342 </w:t>
    </w:r>
    <w:r w:rsidRPr="00060494">
      <w:rPr>
        <w:b/>
        <w:bCs/>
        <w:rtl/>
      </w:rPr>
      <w:br/>
    </w:r>
    <w:r>
      <w:rPr>
        <w:b/>
        <w:bCs/>
      </w:rPr>
      <w:tab/>
    </w:r>
    <w:hyperlink r:id="rId1" w:history="1">
      <w:r w:rsidRPr="00435323">
        <w:rPr>
          <w:rStyle w:val="Hyperlink"/>
          <w:b/>
        </w:rPr>
        <w:t>www.mof.gov.il/hon</w:t>
      </w:r>
    </w:hyperlink>
  </w:p>
  <w:p w:rsidR="003A6583" w:rsidRDefault="003A658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7482" w:rsidRDefault="00DA7482" w:rsidP="00954C0B">
      <w:pPr>
        <w:spacing w:after="0" w:line="240" w:lineRule="auto"/>
      </w:pPr>
      <w:r>
        <w:separator/>
      </w:r>
    </w:p>
  </w:footnote>
  <w:footnote w:type="continuationSeparator" w:id="0">
    <w:p w:rsidR="00DA7482" w:rsidRDefault="00DA7482" w:rsidP="00954C0B">
      <w:pPr>
        <w:spacing w:after="0" w:line="240" w:lineRule="auto"/>
      </w:pPr>
      <w:r>
        <w:continuationSeparator/>
      </w:r>
    </w:p>
  </w:footnote>
  <w:footnote w:id="1">
    <w:p w:rsidR="003A6583" w:rsidRDefault="00747955" w:rsidP="00DA5373">
      <w:pPr>
        <w:pStyle w:val="ac"/>
        <w:jc w:val="both"/>
      </w:pPr>
      <w:r w:rsidRPr="00EE4F3E">
        <w:rPr>
          <w:rStyle w:val="ae"/>
          <w:rFonts w:ascii="David" w:hAnsi="David"/>
        </w:rPr>
        <w:footnoteRef/>
      </w:r>
      <w:r w:rsidRPr="00EE4F3E">
        <w:rPr>
          <w:rFonts w:ascii="David" w:hAnsi="David"/>
          <w:rtl/>
        </w:rPr>
        <w:t xml:space="preserve"> </w:t>
      </w:r>
      <w:r w:rsidRPr="00B7045F">
        <w:rPr>
          <w:rFonts w:ascii="David" w:hAnsi="David" w:cs="David"/>
          <w:rtl/>
        </w:rPr>
        <w:t xml:space="preserve">להרחבה בעניין המסגרת הנורמטיבית ראו </w:t>
      </w:r>
      <w:proofErr w:type="spellStart"/>
      <w:r w:rsidRPr="00B7045F">
        <w:rPr>
          <w:rFonts w:ascii="David" w:hAnsi="David" w:cs="David"/>
          <w:rtl/>
        </w:rPr>
        <w:t>ברע"א</w:t>
      </w:r>
      <w:proofErr w:type="spellEnd"/>
      <w:r w:rsidRPr="00B7045F">
        <w:rPr>
          <w:rFonts w:ascii="David" w:hAnsi="David" w:cs="David"/>
          <w:rtl/>
        </w:rPr>
        <w:t xml:space="preserve"> (י-ם) 18286-10-10‏‏ </w:t>
      </w:r>
      <w:r w:rsidRPr="00B7045F">
        <w:rPr>
          <w:rFonts w:ascii="David" w:hAnsi="David" w:cs="David"/>
          <w:b/>
          <w:bCs/>
          <w:rtl/>
        </w:rPr>
        <w:t xml:space="preserve">יו"ר הוועדה להטלת עיצום כספי נ' ירון בן ‏עמי </w:t>
      </w:r>
      <w:r w:rsidRPr="00B7045F">
        <w:rPr>
          <w:rFonts w:ascii="David" w:hAnsi="David" w:cs="David"/>
          <w:rtl/>
        </w:rPr>
        <w:t xml:space="preserve">(פורסם בנבו 23.08.11) בפסקאות 12-11 לפסק הדין, וכן </w:t>
      </w:r>
      <w:proofErr w:type="spellStart"/>
      <w:r w:rsidRPr="00B7045F">
        <w:rPr>
          <w:rFonts w:ascii="David" w:hAnsi="David" w:cs="David"/>
          <w:rtl/>
        </w:rPr>
        <w:t>ברע"א</w:t>
      </w:r>
      <w:proofErr w:type="spellEnd"/>
      <w:r w:rsidRPr="00B7045F">
        <w:rPr>
          <w:rFonts w:ascii="David" w:hAnsi="David" w:cs="David"/>
          <w:rtl/>
        </w:rPr>
        <w:t xml:space="preserve"> (י-ם) 28818-04-13‏ </w:t>
      </w:r>
      <w:r w:rsidRPr="00B7045F">
        <w:rPr>
          <w:rFonts w:ascii="David" w:hAnsi="David" w:cs="David"/>
          <w:b/>
          <w:bCs/>
          <w:rtl/>
        </w:rPr>
        <w:t>יוסי בזוב נ' הוועדה לעיצום כספי - משרד האוצר</w:t>
      </w:r>
      <w:r w:rsidRPr="00B7045F">
        <w:rPr>
          <w:rFonts w:ascii="David" w:hAnsi="David" w:cs="David"/>
          <w:rtl/>
        </w:rPr>
        <w:t xml:space="preserve"> (פורסם בנבו 21.10.13) בפסקאות 3-2 לפסק הדין.</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6583" w:rsidRDefault="00747955" w:rsidP="00DC5806">
    <w:pPr>
      <w:pStyle w:val="a5"/>
      <w:jc w:val="center"/>
      <w:rPr>
        <w:b/>
        <w:bCs/>
        <w:szCs w:val="36"/>
        <w:rtl/>
      </w:rPr>
    </w:pPr>
    <w:r>
      <w:rPr>
        <w:rFonts w:hint="cs"/>
        <w:b/>
        <w:bCs/>
        <w:noProof/>
        <w:szCs w:val="36"/>
      </w:rPr>
      <w:drawing>
        <wp:inline distT="0" distB="0" distL="0" distR="0">
          <wp:extent cx="563056" cy="446228"/>
          <wp:effectExtent l="0" t="0" r="0" b="0"/>
          <wp:docPr id="11" name="תמונה 11" descr="לוגו הרשות " title="לוגו הרשות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C:\Users\Shabed\Desktop\לוגו-ללא-טקסט.png"/>
                  <pic:cNvPicPr>
                    <a:picLocks noChangeAspect="1" noChangeArrowheads="1"/>
                  </pic:cNvPicPr>
                </pic:nvPicPr>
                <pic:blipFill>
                  <a:blip r:embed="rId1">
                    <a:extLst>
                      <a:ext uri="{28A0092B-C50C-407E-A947-70E740481C1C}">
                        <a14:useLocalDpi xmlns:a14="http://schemas.microsoft.com/office/drawing/2010/main" val="0"/>
                      </a:ext>
                    </a:extLst>
                  </a:blip>
                  <a:srcRect l="12954" t="23133" r="15750" b="20365"/>
                  <a:stretch>
                    <a:fillRect/>
                  </a:stretch>
                </pic:blipFill>
                <pic:spPr bwMode="auto">
                  <a:xfrm>
                    <a:off x="0" y="0"/>
                    <a:ext cx="564078" cy="447038"/>
                  </a:xfrm>
                  <a:prstGeom prst="rect">
                    <a:avLst/>
                  </a:prstGeom>
                  <a:noFill/>
                  <a:ln>
                    <a:noFill/>
                  </a:ln>
                  <a:extLst>
                    <a:ext uri="{53640926-AAD7-44D8-BBD7-CCE9431645EC}">
                      <a14:shadowObscured xmlns:a14="http://schemas.microsoft.com/office/drawing/2010/main"/>
                    </a:ext>
                  </a:extLst>
                </pic:spPr>
              </pic:pic>
            </a:graphicData>
          </a:graphic>
        </wp:inline>
      </w:drawing>
    </w:r>
  </w:p>
  <w:p w:rsidR="003A6583" w:rsidRDefault="00747955" w:rsidP="00DC5806">
    <w:pPr>
      <w:pStyle w:val="a5"/>
      <w:pBdr>
        <w:bottom w:val="single" w:sz="12" w:space="1" w:color="auto"/>
      </w:pBdr>
      <w:jc w:val="center"/>
      <w:rPr>
        <w:b/>
        <w:bCs/>
        <w:szCs w:val="32"/>
        <w:rtl/>
      </w:rPr>
    </w:pPr>
    <w:r>
      <w:rPr>
        <w:rFonts w:hint="cs"/>
        <w:b/>
        <w:bCs/>
        <w:szCs w:val="32"/>
        <w:rtl/>
      </w:rPr>
      <w:t>מדינת ישראל</w:t>
    </w:r>
  </w:p>
  <w:p w:rsidR="003A6583" w:rsidRDefault="00747955" w:rsidP="00DC5806">
    <w:pPr>
      <w:pStyle w:val="a5"/>
      <w:pBdr>
        <w:bottom w:val="single" w:sz="12" w:space="1" w:color="auto"/>
      </w:pBdr>
      <w:jc w:val="center"/>
      <w:rPr>
        <w:b/>
        <w:bCs/>
        <w:szCs w:val="32"/>
        <w:rtl/>
      </w:rPr>
    </w:pPr>
    <w:r>
      <w:rPr>
        <w:rFonts w:hint="cs"/>
        <w:b/>
        <w:bCs/>
        <w:szCs w:val="32"/>
        <w:rtl/>
      </w:rPr>
      <w:t>רשות</w:t>
    </w:r>
    <w:r>
      <w:rPr>
        <w:b/>
        <w:bCs/>
        <w:szCs w:val="32"/>
        <w:rtl/>
      </w:rPr>
      <w:t xml:space="preserve"> שוק ההון, ביטוח וחיסכון</w:t>
    </w:r>
  </w:p>
  <w:p w:rsidR="003A6583" w:rsidRDefault="003A6583">
    <w:pPr>
      <w:pStyle w:val="a5"/>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6583" w:rsidRDefault="00747955" w:rsidP="000E5202">
    <w:pPr>
      <w:pStyle w:val="a5"/>
      <w:jc w:val="center"/>
      <w:rPr>
        <w:b/>
        <w:bCs/>
        <w:szCs w:val="36"/>
        <w:rtl/>
      </w:rPr>
    </w:pPr>
    <w:r>
      <w:rPr>
        <w:rFonts w:hint="cs"/>
        <w:b/>
        <w:bCs/>
        <w:noProof/>
        <w:szCs w:val="36"/>
      </w:rPr>
      <w:drawing>
        <wp:inline distT="0" distB="0" distL="0" distR="0">
          <wp:extent cx="563056" cy="446228"/>
          <wp:effectExtent l="0" t="0" r="0" b="0"/>
          <wp:docPr id="12" name="תמונה 12" descr="לוגו הרשות" title="לוגו הרשו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C:\Users\Shabed\Desktop\לוגו-ללא-טקסט.png"/>
                  <pic:cNvPicPr>
                    <a:picLocks noChangeAspect="1" noChangeArrowheads="1"/>
                  </pic:cNvPicPr>
                </pic:nvPicPr>
                <pic:blipFill>
                  <a:blip r:embed="rId1">
                    <a:extLst>
                      <a:ext uri="{28A0092B-C50C-407E-A947-70E740481C1C}">
                        <a14:useLocalDpi xmlns:a14="http://schemas.microsoft.com/office/drawing/2010/main" val="0"/>
                      </a:ext>
                    </a:extLst>
                  </a:blip>
                  <a:srcRect l="12954" t="23133" r="15750" b="20365"/>
                  <a:stretch>
                    <a:fillRect/>
                  </a:stretch>
                </pic:blipFill>
                <pic:spPr bwMode="auto">
                  <a:xfrm>
                    <a:off x="0" y="0"/>
                    <a:ext cx="564078" cy="447038"/>
                  </a:xfrm>
                  <a:prstGeom prst="rect">
                    <a:avLst/>
                  </a:prstGeom>
                  <a:noFill/>
                  <a:ln>
                    <a:noFill/>
                  </a:ln>
                  <a:extLst>
                    <a:ext uri="{53640926-AAD7-44D8-BBD7-CCE9431645EC}">
                      <a14:shadowObscured xmlns:a14="http://schemas.microsoft.com/office/drawing/2010/main"/>
                    </a:ext>
                  </a:extLst>
                </pic:spPr>
              </pic:pic>
            </a:graphicData>
          </a:graphic>
        </wp:inline>
      </w:drawing>
    </w:r>
  </w:p>
  <w:p w:rsidR="003A6583" w:rsidRDefault="00747955" w:rsidP="000E5202">
    <w:pPr>
      <w:pStyle w:val="a5"/>
      <w:pBdr>
        <w:bottom w:val="single" w:sz="12" w:space="1" w:color="auto"/>
      </w:pBdr>
      <w:jc w:val="center"/>
      <w:rPr>
        <w:b/>
        <w:bCs/>
        <w:szCs w:val="32"/>
        <w:rtl/>
      </w:rPr>
    </w:pPr>
    <w:r>
      <w:rPr>
        <w:rFonts w:hint="cs"/>
        <w:b/>
        <w:bCs/>
        <w:szCs w:val="32"/>
        <w:rtl/>
      </w:rPr>
      <w:t>מדינת ישראל</w:t>
    </w:r>
  </w:p>
  <w:p w:rsidR="003A6583" w:rsidRDefault="00747955" w:rsidP="000E5202">
    <w:pPr>
      <w:pStyle w:val="a5"/>
      <w:pBdr>
        <w:bottom w:val="single" w:sz="12" w:space="1" w:color="auto"/>
      </w:pBdr>
      <w:jc w:val="center"/>
      <w:rPr>
        <w:b/>
        <w:bCs/>
        <w:szCs w:val="32"/>
        <w:rtl/>
      </w:rPr>
    </w:pPr>
    <w:r>
      <w:rPr>
        <w:rFonts w:hint="cs"/>
        <w:b/>
        <w:bCs/>
        <w:szCs w:val="32"/>
        <w:rtl/>
      </w:rPr>
      <w:t>רשות</w:t>
    </w:r>
    <w:r>
      <w:rPr>
        <w:b/>
        <w:bCs/>
        <w:szCs w:val="32"/>
        <w:rtl/>
      </w:rPr>
      <w:t xml:space="preserve"> שוק ההון, ביטוח וחיסכון</w:t>
    </w:r>
  </w:p>
  <w:p w:rsidR="003A6583" w:rsidRDefault="003A658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95EE3148"/>
    <w:lvl w:ilvl="0">
      <w:start w:val="1"/>
      <w:numFmt w:val="decimal"/>
      <w:pStyle w:val="a"/>
      <w:lvlText w:val="%1."/>
      <w:lvlJc w:val="left"/>
      <w:pPr>
        <w:tabs>
          <w:tab w:val="num" w:pos="360"/>
        </w:tabs>
        <w:ind w:left="360" w:hanging="360"/>
      </w:pPr>
    </w:lvl>
  </w:abstractNum>
  <w:abstractNum w:abstractNumId="1" w15:restartNumberingAfterBreak="0">
    <w:nsid w:val="09374170"/>
    <w:multiLevelType w:val="multilevel"/>
    <w:tmpl w:val="3AE2739C"/>
    <w:lvl w:ilvl="0">
      <w:start w:val="1"/>
      <w:numFmt w:val="hebrew1"/>
      <w:lvlText w:val="(%1)"/>
      <w:lvlJc w:val="center"/>
      <w:pPr>
        <w:tabs>
          <w:tab w:val="num" w:pos="454"/>
        </w:tabs>
        <w:ind w:left="454" w:hanging="454"/>
      </w:pPr>
      <w:rPr>
        <w:rFonts w:cs="David" w:hint="default"/>
        <w:b w:val="0"/>
        <w:bCs w:val="0"/>
        <w:iCs w:val="0"/>
        <w:szCs w:val="24"/>
        <w:lang w:val="en-US"/>
      </w:rPr>
    </w:lvl>
    <w:lvl w:ilvl="1">
      <w:start w:val="1"/>
      <w:numFmt w:val="decimal"/>
      <w:lvlText w:val="%2)"/>
      <w:lvlJc w:val="left"/>
      <w:pPr>
        <w:tabs>
          <w:tab w:val="num" w:pos="1020"/>
        </w:tabs>
        <w:ind w:left="1020" w:hanging="453"/>
      </w:pPr>
      <w:rPr>
        <w:rFonts w:hint="default"/>
        <w:b w:val="0"/>
        <w:bCs w:val="0"/>
        <w:iCs w:val="0"/>
        <w:szCs w:val="24"/>
      </w:rPr>
    </w:lvl>
    <w:lvl w:ilvl="2">
      <w:start w:val="1"/>
      <w:numFmt w:val="decimal"/>
      <w:lvlText w:val="%3)"/>
      <w:lvlJc w:val="left"/>
      <w:pPr>
        <w:tabs>
          <w:tab w:val="num" w:pos="1644"/>
        </w:tabs>
        <w:ind w:left="1644" w:hanging="453"/>
      </w:pPr>
      <w:rPr>
        <w:b w:val="0"/>
        <w:bCs w:val="0"/>
      </w:rPr>
    </w:lvl>
    <w:lvl w:ilvl="3">
      <w:start w:val="1"/>
      <w:numFmt w:val="decimal"/>
      <w:lvlText w:val="%4)"/>
      <w:lvlJc w:val="right"/>
      <w:pPr>
        <w:tabs>
          <w:tab w:val="num" w:pos="1871"/>
        </w:tabs>
        <w:ind w:left="1871" w:hanging="454"/>
      </w:pPr>
      <w:rPr>
        <w:rFonts w:ascii="Times New Roman" w:hAnsi="Times New Roman" w:cs="Times New Roman" w:hint="default"/>
        <w:b w:val="0"/>
        <w:bCs w:val="0"/>
        <w:sz w:val="24"/>
        <w:szCs w:val="24"/>
      </w:rPr>
    </w:lvl>
    <w:lvl w:ilvl="4">
      <w:start w:val="1"/>
      <w:numFmt w:val="hebrew1"/>
      <w:lvlText w:val="(%5)"/>
      <w:lvlJc w:val="right"/>
      <w:pPr>
        <w:tabs>
          <w:tab w:val="num" w:pos="2891"/>
        </w:tabs>
        <w:ind w:left="2891" w:hanging="340"/>
      </w:pPr>
    </w:lvl>
    <w:lvl w:ilvl="5">
      <w:start w:val="1"/>
      <w:numFmt w:val="decimal"/>
      <w:lvlText w:val="(%6)"/>
      <w:lvlJc w:val="right"/>
      <w:pPr>
        <w:tabs>
          <w:tab w:val="num" w:pos="3628"/>
        </w:tabs>
        <w:ind w:left="3628" w:hanging="453"/>
      </w:pPr>
    </w:lvl>
    <w:lvl w:ilvl="6">
      <w:start w:val="1"/>
      <w:numFmt w:val="hebrew1"/>
      <w:lvlText w:val="(%7)"/>
      <w:lvlJc w:val="center"/>
      <w:pPr>
        <w:tabs>
          <w:tab w:val="num" w:pos="2517"/>
        </w:tabs>
        <w:ind w:left="2517" w:hanging="357"/>
      </w:pPr>
    </w:lvl>
    <w:lvl w:ilvl="7">
      <w:start w:val="1"/>
      <w:numFmt w:val="decimal"/>
      <w:lvlText w:val="(%8)"/>
      <w:lvlJc w:val="center"/>
      <w:pPr>
        <w:tabs>
          <w:tab w:val="num" w:pos="2880"/>
        </w:tabs>
        <w:ind w:left="2880" w:hanging="363"/>
      </w:pPr>
    </w:lvl>
    <w:lvl w:ilvl="8">
      <w:start w:val="1"/>
      <w:numFmt w:val="hebrew1"/>
      <w:lvlText w:val="%1.%2.%3.%4.%5.%6.%7.%8.%9."/>
      <w:lvlJc w:val="center"/>
      <w:pPr>
        <w:tabs>
          <w:tab w:val="num" w:pos="3237"/>
        </w:tabs>
        <w:ind w:left="3237" w:hanging="357"/>
      </w:pPr>
    </w:lvl>
  </w:abstractNum>
  <w:abstractNum w:abstractNumId="2" w15:restartNumberingAfterBreak="0">
    <w:nsid w:val="16240D29"/>
    <w:multiLevelType w:val="hybridMultilevel"/>
    <w:tmpl w:val="39723052"/>
    <w:lvl w:ilvl="0" w:tplc="556C739C">
      <w:start w:val="1"/>
      <w:numFmt w:val="decimal"/>
      <w:lvlText w:val="%1."/>
      <w:lvlJc w:val="left"/>
      <w:pPr>
        <w:ind w:left="720" w:hanging="360"/>
      </w:pPr>
    </w:lvl>
    <w:lvl w:ilvl="1" w:tplc="934C3B78">
      <w:start w:val="1"/>
      <w:numFmt w:val="lowerLetter"/>
      <w:lvlText w:val="%2."/>
      <w:lvlJc w:val="left"/>
      <w:pPr>
        <w:ind w:left="1440" w:hanging="360"/>
      </w:pPr>
    </w:lvl>
    <w:lvl w:ilvl="2" w:tplc="D06A21B6">
      <w:start w:val="1"/>
      <w:numFmt w:val="lowerRoman"/>
      <w:lvlText w:val="%3."/>
      <w:lvlJc w:val="right"/>
      <w:pPr>
        <w:ind w:left="2160" w:hanging="180"/>
      </w:pPr>
    </w:lvl>
    <w:lvl w:ilvl="3" w:tplc="96B07780" w:tentative="1">
      <w:start w:val="1"/>
      <w:numFmt w:val="decimal"/>
      <w:lvlText w:val="%4."/>
      <w:lvlJc w:val="left"/>
      <w:pPr>
        <w:ind w:left="2880" w:hanging="360"/>
      </w:pPr>
    </w:lvl>
    <w:lvl w:ilvl="4" w:tplc="C97C5842" w:tentative="1">
      <w:start w:val="1"/>
      <w:numFmt w:val="lowerLetter"/>
      <w:lvlText w:val="%5."/>
      <w:lvlJc w:val="left"/>
      <w:pPr>
        <w:ind w:left="3600" w:hanging="360"/>
      </w:pPr>
    </w:lvl>
    <w:lvl w:ilvl="5" w:tplc="5470E8C8" w:tentative="1">
      <w:start w:val="1"/>
      <w:numFmt w:val="lowerRoman"/>
      <w:lvlText w:val="%6."/>
      <w:lvlJc w:val="right"/>
      <w:pPr>
        <w:ind w:left="4320" w:hanging="180"/>
      </w:pPr>
    </w:lvl>
    <w:lvl w:ilvl="6" w:tplc="03DA3734" w:tentative="1">
      <w:start w:val="1"/>
      <w:numFmt w:val="decimal"/>
      <w:lvlText w:val="%7."/>
      <w:lvlJc w:val="left"/>
      <w:pPr>
        <w:ind w:left="5040" w:hanging="360"/>
      </w:pPr>
    </w:lvl>
    <w:lvl w:ilvl="7" w:tplc="29D0893C" w:tentative="1">
      <w:start w:val="1"/>
      <w:numFmt w:val="lowerLetter"/>
      <w:lvlText w:val="%8."/>
      <w:lvlJc w:val="left"/>
      <w:pPr>
        <w:ind w:left="5760" w:hanging="360"/>
      </w:pPr>
    </w:lvl>
    <w:lvl w:ilvl="8" w:tplc="3B7669C8" w:tentative="1">
      <w:start w:val="1"/>
      <w:numFmt w:val="lowerRoman"/>
      <w:lvlText w:val="%9."/>
      <w:lvlJc w:val="right"/>
      <w:pPr>
        <w:ind w:left="6480" w:hanging="180"/>
      </w:pPr>
    </w:lvl>
  </w:abstractNum>
  <w:abstractNum w:abstractNumId="3" w15:restartNumberingAfterBreak="0">
    <w:nsid w:val="1713574B"/>
    <w:multiLevelType w:val="hybridMultilevel"/>
    <w:tmpl w:val="A8B0D6E0"/>
    <w:lvl w:ilvl="0" w:tplc="35E4D618">
      <w:start w:val="1"/>
      <w:numFmt w:val="decimal"/>
      <w:lvlText w:val="%1."/>
      <w:lvlJc w:val="left"/>
      <w:pPr>
        <w:ind w:left="720" w:hanging="360"/>
      </w:pPr>
    </w:lvl>
    <w:lvl w:ilvl="1" w:tplc="DB141198">
      <w:start w:val="1"/>
      <w:numFmt w:val="lowerLetter"/>
      <w:lvlText w:val="%2."/>
      <w:lvlJc w:val="left"/>
      <w:pPr>
        <w:ind w:left="1440" w:hanging="360"/>
      </w:pPr>
    </w:lvl>
    <w:lvl w:ilvl="2" w:tplc="43B27954">
      <w:start w:val="1"/>
      <w:numFmt w:val="lowerRoman"/>
      <w:lvlText w:val="%3."/>
      <w:lvlJc w:val="right"/>
      <w:pPr>
        <w:ind w:left="2160" w:hanging="180"/>
      </w:pPr>
    </w:lvl>
    <w:lvl w:ilvl="3" w:tplc="06AC6316">
      <w:start w:val="1"/>
      <w:numFmt w:val="decimal"/>
      <w:lvlText w:val="%4."/>
      <w:lvlJc w:val="left"/>
      <w:pPr>
        <w:ind w:left="2880" w:hanging="360"/>
      </w:pPr>
    </w:lvl>
    <w:lvl w:ilvl="4" w:tplc="B41ACD32">
      <w:start w:val="1"/>
      <w:numFmt w:val="lowerLetter"/>
      <w:lvlText w:val="%5."/>
      <w:lvlJc w:val="left"/>
      <w:pPr>
        <w:ind w:left="3600" w:hanging="360"/>
      </w:pPr>
    </w:lvl>
    <w:lvl w:ilvl="5" w:tplc="ADA4EA36">
      <w:start w:val="1"/>
      <w:numFmt w:val="lowerRoman"/>
      <w:lvlText w:val="%6."/>
      <w:lvlJc w:val="right"/>
      <w:pPr>
        <w:ind w:left="4320" w:hanging="180"/>
      </w:pPr>
    </w:lvl>
    <w:lvl w:ilvl="6" w:tplc="BED80F8E">
      <w:start w:val="1"/>
      <w:numFmt w:val="decimal"/>
      <w:lvlText w:val="%7."/>
      <w:lvlJc w:val="left"/>
      <w:pPr>
        <w:ind w:left="5040" w:hanging="360"/>
      </w:pPr>
    </w:lvl>
    <w:lvl w:ilvl="7" w:tplc="FE0A6F76">
      <w:start w:val="1"/>
      <w:numFmt w:val="lowerLetter"/>
      <w:lvlText w:val="%8."/>
      <w:lvlJc w:val="left"/>
      <w:pPr>
        <w:ind w:left="5760" w:hanging="360"/>
      </w:pPr>
    </w:lvl>
    <w:lvl w:ilvl="8" w:tplc="90D606BA">
      <w:start w:val="1"/>
      <w:numFmt w:val="lowerRoman"/>
      <w:lvlText w:val="%9."/>
      <w:lvlJc w:val="right"/>
      <w:pPr>
        <w:ind w:left="6480" w:hanging="180"/>
      </w:pPr>
    </w:lvl>
  </w:abstractNum>
  <w:abstractNum w:abstractNumId="4" w15:restartNumberingAfterBreak="0">
    <w:nsid w:val="194F309F"/>
    <w:multiLevelType w:val="hybridMultilevel"/>
    <w:tmpl w:val="388E25B0"/>
    <w:lvl w:ilvl="0" w:tplc="D8CC87B8">
      <w:start w:val="1"/>
      <w:numFmt w:val="hebrew1"/>
      <w:lvlText w:val="%1."/>
      <w:lvlJc w:val="center"/>
      <w:pPr>
        <w:tabs>
          <w:tab w:val="num" w:pos="720"/>
        </w:tabs>
        <w:ind w:left="720" w:hanging="360"/>
      </w:pPr>
      <w:rPr>
        <w:b w:val="0"/>
        <w:bCs w:val="0"/>
      </w:rPr>
    </w:lvl>
    <w:lvl w:ilvl="1" w:tplc="437A0AB0">
      <w:start w:val="1"/>
      <w:numFmt w:val="hebrew1"/>
      <w:lvlText w:val="%2."/>
      <w:lvlJc w:val="left"/>
      <w:pPr>
        <w:ind w:left="1440" w:hanging="360"/>
      </w:pPr>
      <w:rPr>
        <w:rFonts w:hint="default"/>
      </w:rPr>
    </w:lvl>
    <w:lvl w:ilvl="2" w:tplc="667C1AE4" w:tentative="1">
      <w:start w:val="1"/>
      <w:numFmt w:val="lowerRoman"/>
      <w:lvlText w:val="%3."/>
      <w:lvlJc w:val="right"/>
      <w:pPr>
        <w:tabs>
          <w:tab w:val="num" w:pos="2160"/>
        </w:tabs>
        <w:ind w:left="2160" w:hanging="180"/>
      </w:pPr>
    </w:lvl>
    <w:lvl w:ilvl="3" w:tplc="ED243292" w:tentative="1">
      <w:start w:val="1"/>
      <w:numFmt w:val="decimal"/>
      <w:lvlText w:val="%4."/>
      <w:lvlJc w:val="left"/>
      <w:pPr>
        <w:tabs>
          <w:tab w:val="num" w:pos="2880"/>
        </w:tabs>
        <w:ind w:left="2880" w:hanging="360"/>
      </w:pPr>
    </w:lvl>
    <w:lvl w:ilvl="4" w:tplc="921839DE">
      <w:start w:val="1"/>
      <w:numFmt w:val="lowerLetter"/>
      <w:lvlText w:val="%5."/>
      <w:lvlJc w:val="left"/>
      <w:pPr>
        <w:tabs>
          <w:tab w:val="num" w:pos="3600"/>
        </w:tabs>
        <w:ind w:left="3600" w:hanging="360"/>
      </w:pPr>
    </w:lvl>
    <w:lvl w:ilvl="5" w:tplc="89367F00" w:tentative="1">
      <w:start w:val="1"/>
      <w:numFmt w:val="lowerRoman"/>
      <w:lvlText w:val="%6."/>
      <w:lvlJc w:val="right"/>
      <w:pPr>
        <w:tabs>
          <w:tab w:val="num" w:pos="4320"/>
        </w:tabs>
        <w:ind w:left="4320" w:hanging="180"/>
      </w:pPr>
    </w:lvl>
    <w:lvl w:ilvl="6" w:tplc="AA00616C" w:tentative="1">
      <w:start w:val="1"/>
      <w:numFmt w:val="decimal"/>
      <w:lvlText w:val="%7."/>
      <w:lvlJc w:val="left"/>
      <w:pPr>
        <w:tabs>
          <w:tab w:val="num" w:pos="5040"/>
        </w:tabs>
        <w:ind w:left="5040" w:hanging="360"/>
      </w:pPr>
    </w:lvl>
    <w:lvl w:ilvl="7" w:tplc="CD74678C" w:tentative="1">
      <w:start w:val="1"/>
      <w:numFmt w:val="lowerLetter"/>
      <w:lvlText w:val="%8."/>
      <w:lvlJc w:val="left"/>
      <w:pPr>
        <w:tabs>
          <w:tab w:val="num" w:pos="5760"/>
        </w:tabs>
        <w:ind w:left="5760" w:hanging="360"/>
      </w:pPr>
    </w:lvl>
    <w:lvl w:ilvl="8" w:tplc="CE10FB44" w:tentative="1">
      <w:start w:val="1"/>
      <w:numFmt w:val="lowerRoman"/>
      <w:lvlText w:val="%9."/>
      <w:lvlJc w:val="right"/>
      <w:pPr>
        <w:tabs>
          <w:tab w:val="num" w:pos="6480"/>
        </w:tabs>
        <w:ind w:left="6480" w:hanging="180"/>
      </w:pPr>
    </w:lvl>
  </w:abstractNum>
  <w:abstractNum w:abstractNumId="5" w15:restartNumberingAfterBreak="0">
    <w:nsid w:val="22D73E60"/>
    <w:multiLevelType w:val="hybridMultilevel"/>
    <w:tmpl w:val="6EE25F2E"/>
    <w:lvl w:ilvl="0" w:tplc="6D8ABEDC">
      <w:start w:val="1"/>
      <w:numFmt w:val="bullet"/>
      <w:lvlText w:val=""/>
      <w:lvlJc w:val="left"/>
      <w:pPr>
        <w:ind w:left="1513" w:hanging="360"/>
      </w:pPr>
      <w:rPr>
        <w:rFonts w:ascii="Symbol" w:hAnsi="Symbol" w:hint="default"/>
      </w:rPr>
    </w:lvl>
    <w:lvl w:ilvl="1" w:tplc="7DB06FD0" w:tentative="1">
      <w:start w:val="1"/>
      <w:numFmt w:val="bullet"/>
      <w:lvlText w:val="o"/>
      <w:lvlJc w:val="left"/>
      <w:pPr>
        <w:ind w:left="2233" w:hanging="360"/>
      </w:pPr>
      <w:rPr>
        <w:rFonts w:ascii="Courier New" w:hAnsi="Courier New" w:cs="Courier New" w:hint="default"/>
      </w:rPr>
    </w:lvl>
    <w:lvl w:ilvl="2" w:tplc="E7C29AD6" w:tentative="1">
      <w:start w:val="1"/>
      <w:numFmt w:val="bullet"/>
      <w:lvlText w:val=""/>
      <w:lvlJc w:val="left"/>
      <w:pPr>
        <w:ind w:left="2953" w:hanging="360"/>
      </w:pPr>
      <w:rPr>
        <w:rFonts w:ascii="Wingdings" w:hAnsi="Wingdings" w:hint="default"/>
      </w:rPr>
    </w:lvl>
    <w:lvl w:ilvl="3" w:tplc="88E89A52" w:tentative="1">
      <w:start w:val="1"/>
      <w:numFmt w:val="bullet"/>
      <w:lvlText w:val=""/>
      <w:lvlJc w:val="left"/>
      <w:pPr>
        <w:ind w:left="3673" w:hanging="360"/>
      </w:pPr>
      <w:rPr>
        <w:rFonts w:ascii="Symbol" w:hAnsi="Symbol" w:hint="default"/>
      </w:rPr>
    </w:lvl>
    <w:lvl w:ilvl="4" w:tplc="ADDEB492" w:tentative="1">
      <w:start w:val="1"/>
      <w:numFmt w:val="bullet"/>
      <w:lvlText w:val="o"/>
      <w:lvlJc w:val="left"/>
      <w:pPr>
        <w:ind w:left="4393" w:hanging="360"/>
      </w:pPr>
      <w:rPr>
        <w:rFonts w:ascii="Courier New" w:hAnsi="Courier New" w:cs="Courier New" w:hint="default"/>
      </w:rPr>
    </w:lvl>
    <w:lvl w:ilvl="5" w:tplc="D8A24B3C" w:tentative="1">
      <w:start w:val="1"/>
      <w:numFmt w:val="bullet"/>
      <w:lvlText w:val=""/>
      <w:lvlJc w:val="left"/>
      <w:pPr>
        <w:ind w:left="5113" w:hanging="360"/>
      </w:pPr>
      <w:rPr>
        <w:rFonts w:ascii="Wingdings" w:hAnsi="Wingdings" w:hint="default"/>
      </w:rPr>
    </w:lvl>
    <w:lvl w:ilvl="6" w:tplc="A784023C" w:tentative="1">
      <w:start w:val="1"/>
      <w:numFmt w:val="bullet"/>
      <w:lvlText w:val=""/>
      <w:lvlJc w:val="left"/>
      <w:pPr>
        <w:ind w:left="5833" w:hanging="360"/>
      </w:pPr>
      <w:rPr>
        <w:rFonts w:ascii="Symbol" w:hAnsi="Symbol" w:hint="default"/>
      </w:rPr>
    </w:lvl>
    <w:lvl w:ilvl="7" w:tplc="166C9092" w:tentative="1">
      <w:start w:val="1"/>
      <w:numFmt w:val="bullet"/>
      <w:lvlText w:val="o"/>
      <w:lvlJc w:val="left"/>
      <w:pPr>
        <w:ind w:left="6553" w:hanging="360"/>
      </w:pPr>
      <w:rPr>
        <w:rFonts w:ascii="Courier New" w:hAnsi="Courier New" w:cs="Courier New" w:hint="default"/>
      </w:rPr>
    </w:lvl>
    <w:lvl w:ilvl="8" w:tplc="BC1ABC98" w:tentative="1">
      <w:start w:val="1"/>
      <w:numFmt w:val="bullet"/>
      <w:lvlText w:val=""/>
      <w:lvlJc w:val="left"/>
      <w:pPr>
        <w:ind w:left="7273" w:hanging="360"/>
      </w:pPr>
      <w:rPr>
        <w:rFonts w:ascii="Wingdings" w:hAnsi="Wingdings" w:hint="default"/>
      </w:rPr>
    </w:lvl>
  </w:abstractNum>
  <w:abstractNum w:abstractNumId="6" w15:restartNumberingAfterBreak="0">
    <w:nsid w:val="22EA247C"/>
    <w:multiLevelType w:val="hybridMultilevel"/>
    <w:tmpl w:val="9E6E4DAE"/>
    <w:lvl w:ilvl="0" w:tplc="4476D552">
      <w:start w:val="1"/>
      <w:numFmt w:val="hebrew1"/>
      <w:lvlText w:val="(%1)"/>
      <w:lvlJc w:val="left"/>
      <w:pPr>
        <w:ind w:left="720" w:hanging="360"/>
      </w:pPr>
      <w:rPr>
        <w:rFonts w:hint="default"/>
      </w:rPr>
    </w:lvl>
    <w:lvl w:ilvl="1" w:tplc="4A2A8E00" w:tentative="1">
      <w:start w:val="1"/>
      <w:numFmt w:val="lowerLetter"/>
      <w:lvlText w:val="%2."/>
      <w:lvlJc w:val="left"/>
      <w:pPr>
        <w:ind w:left="1440" w:hanging="360"/>
      </w:pPr>
    </w:lvl>
    <w:lvl w:ilvl="2" w:tplc="FB686972" w:tentative="1">
      <w:start w:val="1"/>
      <w:numFmt w:val="lowerRoman"/>
      <w:lvlText w:val="%3."/>
      <w:lvlJc w:val="right"/>
      <w:pPr>
        <w:ind w:left="2160" w:hanging="180"/>
      </w:pPr>
    </w:lvl>
    <w:lvl w:ilvl="3" w:tplc="A80EB37E" w:tentative="1">
      <w:start w:val="1"/>
      <w:numFmt w:val="decimal"/>
      <w:lvlText w:val="%4."/>
      <w:lvlJc w:val="left"/>
      <w:pPr>
        <w:ind w:left="2880" w:hanging="360"/>
      </w:pPr>
    </w:lvl>
    <w:lvl w:ilvl="4" w:tplc="8D02122E" w:tentative="1">
      <w:start w:val="1"/>
      <w:numFmt w:val="lowerLetter"/>
      <w:lvlText w:val="%5."/>
      <w:lvlJc w:val="left"/>
      <w:pPr>
        <w:ind w:left="3600" w:hanging="360"/>
      </w:pPr>
    </w:lvl>
    <w:lvl w:ilvl="5" w:tplc="F6747A94" w:tentative="1">
      <w:start w:val="1"/>
      <w:numFmt w:val="lowerRoman"/>
      <w:lvlText w:val="%6."/>
      <w:lvlJc w:val="right"/>
      <w:pPr>
        <w:ind w:left="4320" w:hanging="180"/>
      </w:pPr>
    </w:lvl>
    <w:lvl w:ilvl="6" w:tplc="DB0E3F66" w:tentative="1">
      <w:start w:val="1"/>
      <w:numFmt w:val="decimal"/>
      <w:lvlText w:val="%7."/>
      <w:lvlJc w:val="left"/>
      <w:pPr>
        <w:ind w:left="5040" w:hanging="360"/>
      </w:pPr>
    </w:lvl>
    <w:lvl w:ilvl="7" w:tplc="96F4B71E" w:tentative="1">
      <w:start w:val="1"/>
      <w:numFmt w:val="lowerLetter"/>
      <w:lvlText w:val="%8."/>
      <w:lvlJc w:val="left"/>
      <w:pPr>
        <w:ind w:left="5760" w:hanging="360"/>
      </w:pPr>
    </w:lvl>
    <w:lvl w:ilvl="8" w:tplc="90EE7C32" w:tentative="1">
      <w:start w:val="1"/>
      <w:numFmt w:val="lowerRoman"/>
      <w:lvlText w:val="%9."/>
      <w:lvlJc w:val="right"/>
      <w:pPr>
        <w:ind w:left="6480" w:hanging="180"/>
      </w:pPr>
    </w:lvl>
  </w:abstractNum>
  <w:abstractNum w:abstractNumId="7" w15:restartNumberingAfterBreak="0">
    <w:nsid w:val="28F46535"/>
    <w:multiLevelType w:val="multilevel"/>
    <w:tmpl w:val="A314A57A"/>
    <w:lvl w:ilvl="0">
      <w:start w:val="1"/>
      <w:numFmt w:val="hebrew1"/>
      <w:lvlText w:val="(%1)"/>
      <w:lvlJc w:val="center"/>
      <w:pPr>
        <w:tabs>
          <w:tab w:val="num" w:pos="454"/>
        </w:tabs>
        <w:ind w:left="454" w:hanging="454"/>
      </w:pPr>
      <w:rPr>
        <w:rFonts w:cs="David" w:hint="default"/>
        <w:b w:val="0"/>
        <w:bCs w:val="0"/>
        <w:iCs w:val="0"/>
        <w:szCs w:val="24"/>
        <w:lang w:val="en-US"/>
      </w:rPr>
    </w:lvl>
    <w:lvl w:ilvl="1">
      <w:start w:val="1"/>
      <w:numFmt w:val="hebrew1"/>
      <w:lvlText w:val="(%2)"/>
      <w:lvlJc w:val="center"/>
      <w:pPr>
        <w:tabs>
          <w:tab w:val="num" w:pos="1020"/>
        </w:tabs>
        <w:ind w:left="1020" w:hanging="453"/>
      </w:pPr>
      <w:rPr>
        <w:rFonts w:cs="David" w:hint="default"/>
        <w:b w:val="0"/>
        <w:bCs w:val="0"/>
        <w:iCs w:val="0"/>
        <w:szCs w:val="24"/>
      </w:rPr>
    </w:lvl>
    <w:lvl w:ilvl="2">
      <w:start w:val="1"/>
      <w:numFmt w:val="decimal"/>
      <w:lvlText w:val="%3)"/>
      <w:lvlJc w:val="left"/>
      <w:pPr>
        <w:tabs>
          <w:tab w:val="num" w:pos="1644"/>
        </w:tabs>
        <w:ind w:left="1644" w:hanging="453"/>
      </w:pPr>
      <w:rPr>
        <w:b w:val="0"/>
        <w:bCs w:val="0"/>
      </w:rPr>
    </w:lvl>
    <w:lvl w:ilvl="3">
      <w:start w:val="1"/>
      <w:numFmt w:val="decimal"/>
      <w:lvlText w:val="%4)"/>
      <w:lvlJc w:val="right"/>
      <w:pPr>
        <w:tabs>
          <w:tab w:val="num" w:pos="1871"/>
        </w:tabs>
        <w:ind w:left="1871" w:hanging="454"/>
      </w:pPr>
      <w:rPr>
        <w:rFonts w:ascii="Times New Roman" w:hAnsi="Times New Roman" w:cs="Times New Roman" w:hint="default"/>
        <w:b w:val="0"/>
        <w:bCs w:val="0"/>
        <w:sz w:val="24"/>
        <w:szCs w:val="24"/>
      </w:rPr>
    </w:lvl>
    <w:lvl w:ilvl="4">
      <w:start w:val="1"/>
      <w:numFmt w:val="hebrew1"/>
      <w:lvlText w:val="(%5)"/>
      <w:lvlJc w:val="right"/>
      <w:pPr>
        <w:tabs>
          <w:tab w:val="num" w:pos="2891"/>
        </w:tabs>
        <w:ind w:left="2891" w:hanging="340"/>
      </w:pPr>
    </w:lvl>
    <w:lvl w:ilvl="5">
      <w:start w:val="1"/>
      <w:numFmt w:val="decimal"/>
      <w:lvlText w:val="(%6)"/>
      <w:lvlJc w:val="right"/>
      <w:pPr>
        <w:tabs>
          <w:tab w:val="num" w:pos="3628"/>
        </w:tabs>
        <w:ind w:left="3628" w:hanging="453"/>
      </w:pPr>
    </w:lvl>
    <w:lvl w:ilvl="6">
      <w:start w:val="1"/>
      <w:numFmt w:val="hebrew1"/>
      <w:lvlText w:val="(%7)"/>
      <w:lvlJc w:val="center"/>
      <w:pPr>
        <w:tabs>
          <w:tab w:val="num" w:pos="2517"/>
        </w:tabs>
        <w:ind w:left="2517" w:hanging="357"/>
      </w:pPr>
    </w:lvl>
    <w:lvl w:ilvl="7">
      <w:start w:val="1"/>
      <w:numFmt w:val="decimal"/>
      <w:lvlText w:val="(%8)"/>
      <w:lvlJc w:val="center"/>
      <w:pPr>
        <w:tabs>
          <w:tab w:val="num" w:pos="2880"/>
        </w:tabs>
        <w:ind w:left="2880" w:hanging="363"/>
      </w:pPr>
    </w:lvl>
    <w:lvl w:ilvl="8">
      <w:start w:val="1"/>
      <w:numFmt w:val="hebrew1"/>
      <w:lvlText w:val="%1.%2.%3.%4.%5.%6.%7.%8.%9."/>
      <w:lvlJc w:val="center"/>
      <w:pPr>
        <w:tabs>
          <w:tab w:val="num" w:pos="3237"/>
        </w:tabs>
        <w:ind w:left="3237" w:hanging="357"/>
      </w:pPr>
    </w:lvl>
  </w:abstractNum>
  <w:abstractNum w:abstractNumId="8" w15:restartNumberingAfterBreak="0">
    <w:nsid w:val="2E9D6C9D"/>
    <w:multiLevelType w:val="hybridMultilevel"/>
    <w:tmpl w:val="1472A8D2"/>
    <w:lvl w:ilvl="0" w:tplc="261E9AF4">
      <w:start w:val="1"/>
      <w:numFmt w:val="decimal"/>
      <w:lvlText w:val="%1."/>
      <w:lvlJc w:val="left"/>
      <w:pPr>
        <w:ind w:left="720" w:hanging="360"/>
      </w:pPr>
      <w:rPr>
        <w:rFonts w:ascii="David" w:hAnsi="David" w:cs="David" w:hint="default"/>
        <w:b/>
        <w:bCs/>
        <w:u w:val="none"/>
      </w:rPr>
    </w:lvl>
    <w:lvl w:ilvl="1" w:tplc="069E47EA" w:tentative="1">
      <w:start w:val="1"/>
      <w:numFmt w:val="lowerLetter"/>
      <w:lvlText w:val="%2."/>
      <w:lvlJc w:val="left"/>
      <w:pPr>
        <w:ind w:left="1440" w:hanging="360"/>
      </w:pPr>
    </w:lvl>
    <w:lvl w:ilvl="2" w:tplc="62140968" w:tentative="1">
      <w:start w:val="1"/>
      <w:numFmt w:val="lowerRoman"/>
      <w:lvlText w:val="%3."/>
      <w:lvlJc w:val="right"/>
      <w:pPr>
        <w:ind w:left="2160" w:hanging="180"/>
      </w:pPr>
    </w:lvl>
    <w:lvl w:ilvl="3" w:tplc="22D6D4D6" w:tentative="1">
      <w:start w:val="1"/>
      <w:numFmt w:val="decimal"/>
      <w:lvlText w:val="%4."/>
      <w:lvlJc w:val="left"/>
      <w:pPr>
        <w:ind w:left="2880" w:hanging="360"/>
      </w:pPr>
    </w:lvl>
    <w:lvl w:ilvl="4" w:tplc="A26A29C4" w:tentative="1">
      <w:start w:val="1"/>
      <w:numFmt w:val="lowerLetter"/>
      <w:lvlText w:val="%5."/>
      <w:lvlJc w:val="left"/>
      <w:pPr>
        <w:ind w:left="3600" w:hanging="360"/>
      </w:pPr>
    </w:lvl>
    <w:lvl w:ilvl="5" w:tplc="968854DE" w:tentative="1">
      <w:start w:val="1"/>
      <w:numFmt w:val="lowerRoman"/>
      <w:lvlText w:val="%6."/>
      <w:lvlJc w:val="right"/>
      <w:pPr>
        <w:ind w:left="4320" w:hanging="180"/>
      </w:pPr>
    </w:lvl>
    <w:lvl w:ilvl="6" w:tplc="31E0CF36" w:tentative="1">
      <w:start w:val="1"/>
      <w:numFmt w:val="decimal"/>
      <w:lvlText w:val="%7."/>
      <w:lvlJc w:val="left"/>
      <w:pPr>
        <w:ind w:left="5040" w:hanging="360"/>
      </w:pPr>
    </w:lvl>
    <w:lvl w:ilvl="7" w:tplc="FD9E4AB8" w:tentative="1">
      <w:start w:val="1"/>
      <w:numFmt w:val="lowerLetter"/>
      <w:lvlText w:val="%8."/>
      <w:lvlJc w:val="left"/>
      <w:pPr>
        <w:ind w:left="5760" w:hanging="360"/>
      </w:pPr>
    </w:lvl>
    <w:lvl w:ilvl="8" w:tplc="0DA02988" w:tentative="1">
      <w:start w:val="1"/>
      <w:numFmt w:val="lowerRoman"/>
      <w:lvlText w:val="%9."/>
      <w:lvlJc w:val="right"/>
      <w:pPr>
        <w:ind w:left="6480" w:hanging="180"/>
      </w:pPr>
    </w:lvl>
  </w:abstractNum>
  <w:abstractNum w:abstractNumId="9" w15:restartNumberingAfterBreak="0">
    <w:nsid w:val="436C3A31"/>
    <w:multiLevelType w:val="hybridMultilevel"/>
    <w:tmpl w:val="6F04836A"/>
    <w:lvl w:ilvl="0" w:tplc="C9AE9808">
      <w:start w:val="1"/>
      <w:numFmt w:val="bullet"/>
      <w:lvlText w:val=""/>
      <w:lvlJc w:val="left"/>
      <w:pPr>
        <w:ind w:left="720" w:hanging="360"/>
      </w:pPr>
      <w:rPr>
        <w:rFonts w:ascii="Symbol" w:hAnsi="Symbol" w:hint="default"/>
      </w:rPr>
    </w:lvl>
    <w:lvl w:ilvl="1" w:tplc="D5C46454" w:tentative="1">
      <w:start w:val="1"/>
      <w:numFmt w:val="bullet"/>
      <w:lvlText w:val="o"/>
      <w:lvlJc w:val="left"/>
      <w:pPr>
        <w:ind w:left="1440" w:hanging="360"/>
      </w:pPr>
      <w:rPr>
        <w:rFonts w:ascii="Courier New" w:hAnsi="Courier New" w:cs="Courier New" w:hint="default"/>
      </w:rPr>
    </w:lvl>
    <w:lvl w:ilvl="2" w:tplc="4FE8DBF8" w:tentative="1">
      <w:start w:val="1"/>
      <w:numFmt w:val="bullet"/>
      <w:lvlText w:val=""/>
      <w:lvlJc w:val="left"/>
      <w:pPr>
        <w:ind w:left="2160" w:hanging="360"/>
      </w:pPr>
      <w:rPr>
        <w:rFonts w:ascii="Wingdings" w:hAnsi="Wingdings" w:hint="default"/>
      </w:rPr>
    </w:lvl>
    <w:lvl w:ilvl="3" w:tplc="319201A6" w:tentative="1">
      <w:start w:val="1"/>
      <w:numFmt w:val="bullet"/>
      <w:lvlText w:val=""/>
      <w:lvlJc w:val="left"/>
      <w:pPr>
        <w:ind w:left="2880" w:hanging="360"/>
      </w:pPr>
      <w:rPr>
        <w:rFonts w:ascii="Symbol" w:hAnsi="Symbol" w:hint="default"/>
      </w:rPr>
    </w:lvl>
    <w:lvl w:ilvl="4" w:tplc="9190B8A0" w:tentative="1">
      <w:start w:val="1"/>
      <w:numFmt w:val="bullet"/>
      <w:lvlText w:val="o"/>
      <w:lvlJc w:val="left"/>
      <w:pPr>
        <w:ind w:left="3600" w:hanging="360"/>
      </w:pPr>
      <w:rPr>
        <w:rFonts w:ascii="Courier New" w:hAnsi="Courier New" w:cs="Courier New" w:hint="default"/>
      </w:rPr>
    </w:lvl>
    <w:lvl w:ilvl="5" w:tplc="75D866CC" w:tentative="1">
      <w:start w:val="1"/>
      <w:numFmt w:val="bullet"/>
      <w:lvlText w:val=""/>
      <w:lvlJc w:val="left"/>
      <w:pPr>
        <w:ind w:left="4320" w:hanging="360"/>
      </w:pPr>
      <w:rPr>
        <w:rFonts w:ascii="Wingdings" w:hAnsi="Wingdings" w:hint="default"/>
      </w:rPr>
    </w:lvl>
    <w:lvl w:ilvl="6" w:tplc="03E2413A" w:tentative="1">
      <w:start w:val="1"/>
      <w:numFmt w:val="bullet"/>
      <w:lvlText w:val=""/>
      <w:lvlJc w:val="left"/>
      <w:pPr>
        <w:ind w:left="5040" w:hanging="360"/>
      </w:pPr>
      <w:rPr>
        <w:rFonts w:ascii="Symbol" w:hAnsi="Symbol" w:hint="default"/>
      </w:rPr>
    </w:lvl>
    <w:lvl w:ilvl="7" w:tplc="CCF430FA" w:tentative="1">
      <w:start w:val="1"/>
      <w:numFmt w:val="bullet"/>
      <w:lvlText w:val="o"/>
      <w:lvlJc w:val="left"/>
      <w:pPr>
        <w:ind w:left="5760" w:hanging="360"/>
      </w:pPr>
      <w:rPr>
        <w:rFonts w:ascii="Courier New" w:hAnsi="Courier New" w:cs="Courier New" w:hint="default"/>
      </w:rPr>
    </w:lvl>
    <w:lvl w:ilvl="8" w:tplc="3580EDEC" w:tentative="1">
      <w:start w:val="1"/>
      <w:numFmt w:val="bullet"/>
      <w:lvlText w:val=""/>
      <w:lvlJc w:val="left"/>
      <w:pPr>
        <w:ind w:left="6480" w:hanging="360"/>
      </w:pPr>
      <w:rPr>
        <w:rFonts w:ascii="Wingdings" w:hAnsi="Wingdings" w:hint="default"/>
      </w:rPr>
    </w:lvl>
  </w:abstractNum>
  <w:abstractNum w:abstractNumId="10" w15:restartNumberingAfterBreak="0">
    <w:nsid w:val="4D4B0B8C"/>
    <w:multiLevelType w:val="hybridMultilevel"/>
    <w:tmpl w:val="D26C2560"/>
    <w:lvl w:ilvl="0" w:tplc="BD28346E">
      <w:start w:val="1"/>
      <w:numFmt w:val="hebrew1"/>
      <w:lvlText w:val="(%1)"/>
      <w:lvlJc w:val="left"/>
      <w:pPr>
        <w:ind w:left="720" w:hanging="360"/>
      </w:pPr>
      <w:rPr>
        <w:rFonts w:ascii="David" w:eastAsiaTheme="minorHAnsi" w:hAnsi="David" w:cs="David" w:hint="default"/>
        <w:b w:val="0"/>
        <w:bCs w:val="0"/>
      </w:rPr>
    </w:lvl>
    <w:lvl w:ilvl="1" w:tplc="D4463686">
      <w:start w:val="1"/>
      <w:numFmt w:val="lowerLetter"/>
      <w:lvlText w:val="%2."/>
      <w:lvlJc w:val="left"/>
      <w:pPr>
        <w:ind w:left="1440" w:hanging="360"/>
      </w:pPr>
    </w:lvl>
    <w:lvl w:ilvl="2" w:tplc="11789012">
      <w:start w:val="1"/>
      <w:numFmt w:val="lowerRoman"/>
      <w:lvlText w:val="%3."/>
      <w:lvlJc w:val="right"/>
      <w:pPr>
        <w:ind w:left="2160" w:hanging="180"/>
      </w:pPr>
    </w:lvl>
    <w:lvl w:ilvl="3" w:tplc="905CA3D6">
      <w:start w:val="1"/>
      <w:numFmt w:val="decimal"/>
      <w:lvlText w:val="(%4)"/>
      <w:lvlJc w:val="left"/>
      <w:pPr>
        <w:ind w:left="2880" w:hanging="360"/>
      </w:pPr>
      <w:rPr>
        <w:rFonts w:ascii="David" w:eastAsiaTheme="minorHAnsi" w:hAnsi="David" w:cs="David"/>
      </w:rPr>
    </w:lvl>
    <w:lvl w:ilvl="4" w:tplc="FACAB796" w:tentative="1">
      <w:start w:val="1"/>
      <w:numFmt w:val="lowerLetter"/>
      <w:lvlText w:val="%5."/>
      <w:lvlJc w:val="left"/>
      <w:pPr>
        <w:ind w:left="3600" w:hanging="360"/>
      </w:pPr>
    </w:lvl>
    <w:lvl w:ilvl="5" w:tplc="99B4F5E0" w:tentative="1">
      <w:start w:val="1"/>
      <w:numFmt w:val="lowerRoman"/>
      <w:lvlText w:val="%6."/>
      <w:lvlJc w:val="right"/>
      <w:pPr>
        <w:ind w:left="4320" w:hanging="180"/>
      </w:pPr>
    </w:lvl>
    <w:lvl w:ilvl="6" w:tplc="1ADEF5CC" w:tentative="1">
      <w:start w:val="1"/>
      <w:numFmt w:val="decimal"/>
      <w:lvlText w:val="%7."/>
      <w:lvlJc w:val="left"/>
      <w:pPr>
        <w:ind w:left="5040" w:hanging="360"/>
      </w:pPr>
    </w:lvl>
    <w:lvl w:ilvl="7" w:tplc="411C6254" w:tentative="1">
      <w:start w:val="1"/>
      <w:numFmt w:val="lowerLetter"/>
      <w:lvlText w:val="%8."/>
      <w:lvlJc w:val="left"/>
      <w:pPr>
        <w:ind w:left="5760" w:hanging="360"/>
      </w:pPr>
    </w:lvl>
    <w:lvl w:ilvl="8" w:tplc="C9F4427E" w:tentative="1">
      <w:start w:val="1"/>
      <w:numFmt w:val="lowerRoman"/>
      <w:lvlText w:val="%9."/>
      <w:lvlJc w:val="right"/>
      <w:pPr>
        <w:ind w:left="6480" w:hanging="180"/>
      </w:pPr>
    </w:lvl>
  </w:abstractNum>
  <w:abstractNum w:abstractNumId="11" w15:restartNumberingAfterBreak="0">
    <w:nsid w:val="4E292F35"/>
    <w:multiLevelType w:val="hybridMultilevel"/>
    <w:tmpl w:val="241C95AE"/>
    <w:lvl w:ilvl="0" w:tplc="55120BFA">
      <w:start w:val="1"/>
      <w:numFmt w:val="decimal"/>
      <w:lvlText w:val="%1."/>
      <w:lvlJc w:val="left"/>
      <w:pPr>
        <w:ind w:left="720" w:hanging="360"/>
      </w:pPr>
      <w:rPr>
        <w:rFonts w:hint="default"/>
        <w:u w:val="none"/>
      </w:rPr>
    </w:lvl>
    <w:lvl w:ilvl="1" w:tplc="C270E67E" w:tentative="1">
      <w:start w:val="1"/>
      <w:numFmt w:val="lowerLetter"/>
      <w:lvlText w:val="%2."/>
      <w:lvlJc w:val="left"/>
      <w:pPr>
        <w:ind w:left="1440" w:hanging="360"/>
      </w:pPr>
    </w:lvl>
    <w:lvl w:ilvl="2" w:tplc="020CEB7E" w:tentative="1">
      <w:start w:val="1"/>
      <w:numFmt w:val="lowerRoman"/>
      <w:lvlText w:val="%3."/>
      <w:lvlJc w:val="right"/>
      <w:pPr>
        <w:ind w:left="2160" w:hanging="180"/>
      </w:pPr>
    </w:lvl>
    <w:lvl w:ilvl="3" w:tplc="E152C154" w:tentative="1">
      <w:start w:val="1"/>
      <w:numFmt w:val="decimal"/>
      <w:lvlText w:val="%4."/>
      <w:lvlJc w:val="left"/>
      <w:pPr>
        <w:ind w:left="2880" w:hanging="360"/>
      </w:pPr>
    </w:lvl>
    <w:lvl w:ilvl="4" w:tplc="65B2F39A" w:tentative="1">
      <w:start w:val="1"/>
      <w:numFmt w:val="lowerLetter"/>
      <w:lvlText w:val="%5."/>
      <w:lvlJc w:val="left"/>
      <w:pPr>
        <w:ind w:left="3600" w:hanging="360"/>
      </w:pPr>
    </w:lvl>
    <w:lvl w:ilvl="5" w:tplc="ED0C859C" w:tentative="1">
      <w:start w:val="1"/>
      <w:numFmt w:val="lowerRoman"/>
      <w:lvlText w:val="%6."/>
      <w:lvlJc w:val="right"/>
      <w:pPr>
        <w:ind w:left="4320" w:hanging="180"/>
      </w:pPr>
    </w:lvl>
    <w:lvl w:ilvl="6" w:tplc="19FAF2AA" w:tentative="1">
      <w:start w:val="1"/>
      <w:numFmt w:val="decimal"/>
      <w:lvlText w:val="%7."/>
      <w:lvlJc w:val="left"/>
      <w:pPr>
        <w:ind w:left="5040" w:hanging="360"/>
      </w:pPr>
    </w:lvl>
    <w:lvl w:ilvl="7" w:tplc="E8221C1C" w:tentative="1">
      <w:start w:val="1"/>
      <w:numFmt w:val="lowerLetter"/>
      <w:lvlText w:val="%8."/>
      <w:lvlJc w:val="left"/>
      <w:pPr>
        <w:ind w:left="5760" w:hanging="360"/>
      </w:pPr>
    </w:lvl>
    <w:lvl w:ilvl="8" w:tplc="AFD65A96" w:tentative="1">
      <w:start w:val="1"/>
      <w:numFmt w:val="lowerRoman"/>
      <w:lvlText w:val="%9."/>
      <w:lvlJc w:val="right"/>
      <w:pPr>
        <w:ind w:left="6480" w:hanging="180"/>
      </w:pPr>
    </w:lvl>
  </w:abstractNum>
  <w:abstractNum w:abstractNumId="12" w15:restartNumberingAfterBreak="0">
    <w:nsid w:val="5A2F0ABC"/>
    <w:multiLevelType w:val="hybridMultilevel"/>
    <w:tmpl w:val="257C6488"/>
    <w:lvl w:ilvl="0" w:tplc="F1329994">
      <w:start w:val="1"/>
      <w:numFmt w:val="hebrew1"/>
      <w:lvlText w:val="(%1)"/>
      <w:lvlJc w:val="left"/>
      <w:pPr>
        <w:ind w:left="720" w:hanging="360"/>
      </w:pPr>
      <w:rPr>
        <w:rFonts w:hint="default"/>
      </w:rPr>
    </w:lvl>
    <w:lvl w:ilvl="1" w:tplc="2FEA74E2" w:tentative="1">
      <w:start w:val="1"/>
      <w:numFmt w:val="lowerLetter"/>
      <w:lvlText w:val="%2."/>
      <w:lvlJc w:val="left"/>
      <w:pPr>
        <w:ind w:left="1440" w:hanging="360"/>
      </w:pPr>
    </w:lvl>
    <w:lvl w:ilvl="2" w:tplc="903CBF16" w:tentative="1">
      <w:start w:val="1"/>
      <w:numFmt w:val="lowerRoman"/>
      <w:lvlText w:val="%3."/>
      <w:lvlJc w:val="right"/>
      <w:pPr>
        <w:ind w:left="2160" w:hanging="180"/>
      </w:pPr>
    </w:lvl>
    <w:lvl w:ilvl="3" w:tplc="330CB700" w:tentative="1">
      <w:start w:val="1"/>
      <w:numFmt w:val="decimal"/>
      <w:lvlText w:val="%4."/>
      <w:lvlJc w:val="left"/>
      <w:pPr>
        <w:ind w:left="2880" w:hanging="360"/>
      </w:pPr>
    </w:lvl>
    <w:lvl w:ilvl="4" w:tplc="2C645F58" w:tentative="1">
      <w:start w:val="1"/>
      <w:numFmt w:val="lowerLetter"/>
      <w:lvlText w:val="%5."/>
      <w:lvlJc w:val="left"/>
      <w:pPr>
        <w:ind w:left="3600" w:hanging="360"/>
      </w:pPr>
    </w:lvl>
    <w:lvl w:ilvl="5" w:tplc="4F201380" w:tentative="1">
      <w:start w:val="1"/>
      <w:numFmt w:val="lowerRoman"/>
      <w:lvlText w:val="%6."/>
      <w:lvlJc w:val="right"/>
      <w:pPr>
        <w:ind w:left="4320" w:hanging="180"/>
      </w:pPr>
    </w:lvl>
    <w:lvl w:ilvl="6" w:tplc="62EC8722" w:tentative="1">
      <w:start w:val="1"/>
      <w:numFmt w:val="decimal"/>
      <w:lvlText w:val="%7."/>
      <w:lvlJc w:val="left"/>
      <w:pPr>
        <w:ind w:left="5040" w:hanging="360"/>
      </w:pPr>
    </w:lvl>
    <w:lvl w:ilvl="7" w:tplc="939A01DA" w:tentative="1">
      <w:start w:val="1"/>
      <w:numFmt w:val="lowerLetter"/>
      <w:lvlText w:val="%8."/>
      <w:lvlJc w:val="left"/>
      <w:pPr>
        <w:ind w:left="5760" w:hanging="360"/>
      </w:pPr>
    </w:lvl>
    <w:lvl w:ilvl="8" w:tplc="4E8E18EC" w:tentative="1">
      <w:start w:val="1"/>
      <w:numFmt w:val="lowerRoman"/>
      <w:lvlText w:val="%9."/>
      <w:lvlJc w:val="right"/>
      <w:pPr>
        <w:ind w:left="6480" w:hanging="180"/>
      </w:pPr>
    </w:lvl>
  </w:abstractNum>
  <w:abstractNum w:abstractNumId="13" w15:restartNumberingAfterBreak="0">
    <w:nsid w:val="5A4D040B"/>
    <w:multiLevelType w:val="hybridMultilevel"/>
    <w:tmpl w:val="6B82BAE0"/>
    <w:lvl w:ilvl="0" w:tplc="397496B2">
      <w:start w:val="1"/>
      <w:numFmt w:val="decimal"/>
      <w:lvlText w:val="%1."/>
      <w:lvlJc w:val="left"/>
      <w:pPr>
        <w:ind w:left="720" w:hanging="360"/>
      </w:pPr>
      <w:rPr>
        <w:rFonts w:hint="default"/>
      </w:rPr>
    </w:lvl>
    <w:lvl w:ilvl="1" w:tplc="95C2D21E" w:tentative="1">
      <w:start w:val="1"/>
      <w:numFmt w:val="lowerLetter"/>
      <w:lvlText w:val="%2."/>
      <w:lvlJc w:val="left"/>
      <w:pPr>
        <w:ind w:left="1440" w:hanging="360"/>
      </w:pPr>
    </w:lvl>
    <w:lvl w:ilvl="2" w:tplc="5BD2E252" w:tentative="1">
      <w:start w:val="1"/>
      <w:numFmt w:val="lowerRoman"/>
      <w:lvlText w:val="%3."/>
      <w:lvlJc w:val="right"/>
      <w:pPr>
        <w:ind w:left="2160" w:hanging="180"/>
      </w:pPr>
    </w:lvl>
    <w:lvl w:ilvl="3" w:tplc="01F8F616" w:tentative="1">
      <w:start w:val="1"/>
      <w:numFmt w:val="decimal"/>
      <w:lvlText w:val="%4."/>
      <w:lvlJc w:val="left"/>
      <w:pPr>
        <w:ind w:left="2880" w:hanging="360"/>
      </w:pPr>
    </w:lvl>
    <w:lvl w:ilvl="4" w:tplc="530C42B4" w:tentative="1">
      <w:start w:val="1"/>
      <w:numFmt w:val="lowerLetter"/>
      <w:lvlText w:val="%5."/>
      <w:lvlJc w:val="left"/>
      <w:pPr>
        <w:ind w:left="3600" w:hanging="360"/>
      </w:pPr>
    </w:lvl>
    <w:lvl w:ilvl="5" w:tplc="49B636B4" w:tentative="1">
      <w:start w:val="1"/>
      <w:numFmt w:val="lowerRoman"/>
      <w:lvlText w:val="%6."/>
      <w:lvlJc w:val="right"/>
      <w:pPr>
        <w:ind w:left="4320" w:hanging="180"/>
      </w:pPr>
    </w:lvl>
    <w:lvl w:ilvl="6" w:tplc="F6248212" w:tentative="1">
      <w:start w:val="1"/>
      <w:numFmt w:val="decimal"/>
      <w:lvlText w:val="%7."/>
      <w:lvlJc w:val="left"/>
      <w:pPr>
        <w:ind w:left="5040" w:hanging="360"/>
      </w:pPr>
    </w:lvl>
    <w:lvl w:ilvl="7" w:tplc="738E89F4" w:tentative="1">
      <w:start w:val="1"/>
      <w:numFmt w:val="lowerLetter"/>
      <w:lvlText w:val="%8."/>
      <w:lvlJc w:val="left"/>
      <w:pPr>
        <w:ind w:left="5760" w:hanging="360"/>
      </w:pPr>
    </w:lvl>
    <w:lvl w:ilvl="8" w:tplc="F8C2DC28" w:tentative="1">
      <w:start w:val="1"/>
      <w:numFmt w:val="lowerRoman"/>
      <w:lvlText w:val="%9."/>
      <w:lvlJc w:val="right"/>
      <w:pPr>
        <w:ind w:left="6480" w:hanging="180"/>
      </w:pPr>
    </w:lvl>
  </w:abstractNum>
  <w:abstractNum w:abstractNumId="14" w15:restartNumberingAfterBreak="0">
    <w:nsid w:val="5ABD3DA7"/>
    <w:multiLevelType w:val="multilevel"/>
    <w:tmpl w:val="485C3E8A"/>
    <w:lvl w:ilvl="0">
      <w:start w:val="1"/>
      <w:numFmt w:val="hebrew1"/>
      <w:lvlText w:val="%1."/>
      <w:lvlJc w:val="right"/>
      <w:pPr>
        <w:tabs>
          <w:tab w:val="num" w:pos="454"/>
        </w:tabs>
        <w:ind w:left="454" w:hanging="454"/>
      </w:pPr>
      <w:rPr>
        <w:rFonts w:cs="Monotype Hadassah" w:hint="cs"/>
        <w:b/>
        <w:bCs/>
        <w:iCs w:val="0"/>
        <w:sz w:val="24"/>
        <w:szCs w:val="24"/>
      </w:rPr>
    </w:lvl>
    <w:lvl w:ilvl="1">
      <w:start w:val="1"/>
      <w:numFmt w:val="decimal"/>
      <w:lvlText w:val="%2."/>
      <w:lvlJc w:val="right"/>
      <w:pPr>
        <w:tabs>
          <w:tab w:val="num" w:pos="1077"/>
        </w:tabs>
        <w:ind w:left="1077" w:hanging="453"/>
      </w:pPr>
      <w:rPr>
        <w:rFonts w:cs="Monotype Hadassah" w:hint="cs"/>
        <w:b w:val="0"/>
        <w:bCs w:val="0"/>
        <w:iCs w:val="0"/>
        <w:sz w:val="20"/>
        <w:szCs w:val="20"/>
      </w:rPr>
    </w:lvl>
    <w:lvl w:ilvl="2">
      <w:start w:val="1"/>
      <w:numFmt w:val="hebrew1"/>
      <w:lvlText w:val="%3)"/>
      <w:lvlJc w:val="right"/>
      <w:pPr>
        <w:tabs>
          <w:tab w:val="num" w:pos="736"/>
        </w:tabs>
        <w:ind w:left="736" w:hanging="453"/>
      </w:pPr>
      <w:rPr>
        <w:rFonts w:cs="David"/>
        <w:bCs w:val="0"/>
        <w:iCs w:val="0"/>
        <w:sz w:val="24"/>
        <w:szCs w:val="24"/>
      </w:rPr>
    </w:lvl>
    <w:lvl w:ilvl="3">
      <w:start w:val="1"/>
      <w:numFmt w:val="decimal"/>
      <w:lvlText w:val="%4)"/>
      <w:lvlJc w:val="right"/>
      <w:pPr>
        <w:tabs>
          <w:tab w:val="num" w:pos="2211"/>
        </w:tabs>
        <w:ind w:left="2211" w:hanging="454"/>
      </w:pPr>
      <w:rPr>
        <w:rFonts w:cs="David"/>
        <w:b w:val="0"/>
        <w:bCs w:val="0"/>
        <w:sz w:val="24"/>
        <w:szCs w:val="24"/>
      </w:rPr>
    </w:lvl>
    <w:lvl w:ilvl="4">
      <w:start w:val="1"/>
      <w:numFmt w:val="hebrew1"/>
      <w:lvlText w:val="(%5)"/>
      <w:lvlJc w:val="right"/>
      <w:pPr>
        <w:tabs>
          <w:tab w:val="num" w:pos="2891"/>
        </w:tabs>
        <w:ind w:left="2891" w:hanging="340"/>
      </w:pPr>
      <w:rPr>
        <w:rFonts w:cs="Times New Roman"/>
        <w:b w:val="0"/>
        <w:bCs w:val="0"/>
        <w:sz w:val="20"/>
        <w:szCs w:val="20"/>
      </w:rPr>
    </w:lvl>
    <w:lvl w:ilvl="5">
      <w:start w:val="1"/>
      <w:numFmt w:val="decimal"/>
      <w:lvlText w:val="(%6)"/>
      <w:lvlJc w:val="right"/>
      <w:pPr>
        <w:tabs>
          <w:tab w:val="num" w:pos="3628"/>
        </w:tabs>
        <w:ind w:left="3628" w:hanging="453"/>
      </w:pPr>
      <w:rPr>
        <w:rFonts w:cs="Times New Roman"/>
        <w:b w:val="0"/>
        <w:bCs w:val="0"/>
        <w:sz w:val="20"/>
        <w:szCs w:val="20"/>
      </w:rPr>
    </w:lvl>
    <w:lvl w:ilvl="6">
      <w:start w:val="1"/>
      <w:numFmt w:val="hebrew1"/>
      <w:lvlText w:val="(%7)"/>
      <w:lvlJc w:val="center"/>
      <w:pPr>
        <w:tabs>
          <w:tab w:val="num" w:pos="2517"/>
        </w:tabs>
        <w:ind w:left="2517" w:hanging="357"/>
      </w:pPr>
      <w:rPr>
        <w:rFonts w:cs="Times New Roman"/>
        <w:sz w:val="2"/>
        <w:szCs w:val="24"/>
      </w:rPr>
    </w:lvl>
    <w:lvl w:ilvl="7">
      <w:start w:val="1"/>
      <w:numFmt w:val="decimal"/>
      <w:lvlText w:val="(%8)"/>
      <w:lvlJc w:val="center"/>
      <w:pPr>
        <w:tabs>
          <w:tab w:val="num" w:pos="2880"/>
        </w:tabs>
        <w:ind w:left="2880" w:hanging="363"/>
      </w:pPr>
      <w:rPr>
        <w:rFonts w:cs="Times New Roman"/>
      </w:rPr>
    </w:lvl>
    <w:lvl w:ilvl="8">
      <w:start w:val="1"/>
      <w:numFmt w:val="hebrew1"/>
      <w:lvlText w:val="%1.%2.%3.%4.%5.%6.%7.%8.%9."/>
      <w:lvlJc w:val="center"/>
      <w:pPr>
        <w:tabs>
          <w:tab w:val="num" w:pos="3237"/>
        </w:tabs>
        <w:ind w:left="3237" w:hanging="357"/>
      </w:pPr>
      <w:rPr>
        <w:rFonts w:cs="Times New Roman"/>
        <w:sz w:val="2"/>
        <w:szCs w:val="24"/>
      </w:rPr>
    </w:lvl>
  </w:abstractNum>
  <w:abstractNum w:abstractNumId="15" w15:restartNumberingAfterBreak="0">
    <w:nsid w:val="62B45BE4"/>
    <w:multiLevelType w:val="hybridMultilevel"/>
    <w:tmpl w:val="D444BEF8"/>
    <w:lvl w:ilvl="0" w:tplc="B63C9A74">
      <w:start w:val="1"/>
      <w:numFmt w:val="decimal"/>
      <w:lvlText w:val="%1)"/>
      <w:lvlJc w:val="left"/>
      <w:pPr>
        <w:ind w:left="4396" w:hanging="360"/>
      </w:pPr>
      <w:rPr>
        <w:rFonts w:ascii="David" w:eastAsiaTheme="minorHAnsi" w:hAnsi="David" w:cs="David"/>
      </w:rPr>
    </w:lvl>
    <w:lvl w:ilvl="1" w:tplc="D5EA2BD4" w:tentative="1">
      <w:start w:val="1"/>
      <w:numFmt w:val="lowerLetter"/>
      <w:lvlText w:val="%2."/>
      <w:lvlJc w:val="left"/>
      <w:pPr>
        <w:ind w:left="5116" w:hanging="360"/>
      </w:pPr>
    </w:lvl>
    <w:lvl w:ilvl="2" w:tplc="DFDA61F6" w:tentative="1">
      <w:start w:val="1"/>
      <w:numFmt w:val="lowerRoman"/>
      <w:lvlText w:val="%3."/>
      <w:lvlJc w:val="right"/>
      <w:pPr>
        <w:ind w:left="5836" w:hanging="180"/>
      </w:pPr>
    </w:lvl>
    <w:lvl w:ilvl="3" w:tplc="7ACC4C32" w:tentative="1">
      <w:start w:val="1"/>
      <w:numFmt w:val="decimal"/>
      <w:lvlText w:val="%4."/>
      <w:lvlJc w:val="left"/>
      <w:pPr>
        <w:ind w:left="6556" w:hanging="360"/>
      </w:pPr>
    </w:lvl>
    <w:lvl w:ilvl="4" w:tplc="7A22E3CC" w:tentative="1">
      <w:start w:val="1"/>
      <w:numFmt w:val="lowerLetter"/>
      <w:lvlText w:val="%5."/>
      <w:lvlJc w:val="left"/>
      <w:pPr>
        <w:ind w:left="7276" w:hanging="360"/>
      </w:pPr>
    </w:lvl>
    <w:lvl w:ilvl="5" w:tplc="C49C36BC" w:tentative="1">
      <w:start w:val="1"/>
      <w:numFmt w:val="lowerRoman"/>
      <w:lvlText w:val="%6."/>
      <w:lvlJc w:val="right"/>
      <w:pPr>
        <w:ind w:left="7996" w:hanging="180"/>
      </w:pPr>
    </w:lvl>
    <w:lvl w:ilvl="6" w:tplc="3EE0A7DA" w:tentative="1">
      <w:start w:val="1"/>
      <w:numFmt w:val="decimal"/>
      <w:lvlText w:val="%7."/>
      <w:lvlJc w:val="left"/>
      <w:pPr>
        <w:ind w:left="8716" w:hanging="360"/>
      </w:pPr>
    </w:lvl>
    <w:lvl w:ilvl="7" w:tplc="D2E4F4A4" w:tentative="1">
      <w:start w:val="1"/>
      <w:numFmt w:val="lowerLetter"/>
      <w:lvlText w:val="%8."/>
      <w:lvlJc w:val="left"/>
      <w:pPr>
        <w:ind w:left="9436" w:hanging="360"/>
      </w:pPr>
    </w:lvl>
    <w:lvl w:ilvl="8" w:tplc="F2D80C9A" w:tentative="1">
      <w:start w:val="1"/>
      <w:numFmt w:val="lowerRoman"/>
      <w:lvlText w:val="%9."/>
      <w:lvlJc w:val="right"/>
      <w:pPr>
        <w:ind w:left="10156" w:hanging="180"/>
      </w:pPr>
    </w:lvl>
  </w:abstractNum>
  <w:abstractNum w:abstractNumId="16" w15:restartNumberingAfterBreak="0">
    <w:nsid w:val="649C1266"/>
    <w:multiLevelType w:val="hybridMultilevel"/>
    <w:tmpl w:val="BF56DD9A"/>
    <w:lvl w:ilvl="0" w:tplc="C80E3A2C">
      <w:start w:val="12"/>
      <w:numFmt w:val="bullet"/>
      <w:lvlText w:val="-"/>
      <w:lvlJc w:val="left"/>
      <w:pPr>
        <w:ind w:left="919" w:hanging="360"/>
      </w:pPr>
      <w:rPr>
        <w:rFonts w:ascii="David" w:eastAsiaTheme="minorHAnsi" w:hAnsi="David" w:cs="David" w:hint="default"/>
        <w:b w:val="0"/>
      </w:rPr>
    </w:lvl>
    <w:lvl w:ilvl="1" w:tplc="3A308ECC" w:tentative="1">
      <w:start w:val="1"/>
      <w:numFmt w:val="bullet"/>
      <w:lvlText w:val="o"/>
      <w:lvlJc w:val="left"/>
      <w:pPr>
        <w:ind w:left="1639" w:hanging="360"/>
      </w:pPr>
      <w:rPr>
        <w:rFonts w:ascii="Courier New" w:hAnsi="Courier New" w:cs="Courier New" w:hint="default"/>
      </w:rPr>
    </w:lvl>
    <w:lvl w:ilvl="2" w:tplc="9642E824" w:tentative="1">
      <w:start w:val="1"/>
      <w:numFmt w:val="bullet"/>
      <w:lvlText w:val=""/>
      <w:lvlJc w:val="left"/>
      <w:pPr>
        <w:ind w:left="2359" w:hanging="360"/>
      </w:pPr>
      <w:rPr>
        <w:rFonts w:ascii="Wingdings" w:hAnsi="Wingdings" w:hint="default"/>
      </w:rPr>
    </w:lvl>
    <w:lvl w:ilvl="3" w:tplc="6B12E8B0" w:tentative="1">
      <w:start w:val="1"/>
      <w:numFmt w:val="bullet"/>
      <w:lvlText w:val=""/>
      <w:lvlJc w:val="left"/>
      <w:pPr>
        <w:ind w:left="3079" w:hanging="360"/>
      </w:pPr>
      <w:rPr>
        <w:rFonts w:ascii="Symbol" w:hAnsi="Symbol" w:hint="default"/>
      </w:rPr>
    </w:lvl>
    <w:lvl w:ilvl="4" w:tplc="70585828" w:tentative="1">
      <w:start w:val="1"/>
      <w:numFmt w:val="bullet"/>
      <w:lvlText w:val="o"/>
      <w:lvlJc w:val="left"/>
      <w:pPr>
        <w:ind w:left="3799" w:hanging="360"/>
      </w:pPr>
      <w:rPr>
        <w:rFonts w:ascii="Courier New" w:hAnsi="Courier New" w:cs="Courier New" w:hint="default"/>
      </w:rPr>
    </w:lvl>
    <w:lvl w:ilvl="5" w:tplc="55DE8168" w:tentative="1">
      <w:start w:val="1"/>
      <w:numFmt w:val="bullet"/>
      <w:lvlText w:val=""/>
      <w:lvlJc w:val="left"/>
      <w:pPr>
        <w:ind w:left="4519" w:hanging="360"/>
      </w:pPr>
      <w:rPr>
        <w:rFonts w:ascii="Wingdings" w:hAnsi="Wingdings" w:hint="default"/>
      </w:rPr>
    </w:lvl>
    <w:lvl w:ilvl="6" w:tplc="D5F22BB2" w:tentative="1">
      <w:start w:val="1"/>
      <w:numFmt w:val="bullet"/>
      <w:lvlText w:val=""/>
      <w:lvlJc w:val="left"/>
      <w:pPr>
        <w:ind w:left="5239" w:hanging="360"/>
      </w:pPr>
      <w:rPr>
        <w:rFonts w:ascii="Symbol" w:hAnsi="Symbol" w:hint="default"/>
      </w:rPr>
    </w:lvl>
    <w:lvl w:ilvl="7" w:tplc="B23C5DF2" w:tentative="1">
      <w:start w:val="1"/>
      <w:numFmt w:val="bullet"/>
      <w:lvlText w:val="o"/>
      <w:lvlJc w:val="left"/>
      <w:pPr>
        <w:ind w:left="5959" w:hanging="360"/>
      </w:pPr>
      <w:rPr>
        <w:rFonts w:ascii="Courier New" w:hAnsi="Courier New" w:cs="Courier New" w:hint="default"/>
      </w:rPr>
    </w:lvl>
    <w:lvl w:ilvl="8" w:tplc="75721C50" w:tentative="1">
      <w:start w:val="1"/>
      <w:numFmt w:val="bullet"/>
      <w:lvlText w:val=""/>
      <w:lvlJc w:val="left"/>
      <w:pPr>
        <w:ind w:left="6679" w:hanging="360"/>
      </w:pPr>
      <w:rPr>
        <w:rFonts w:ascii="Wingdings" w:hAnsi="Wingdings" w:hint="default"/>
      </w:rPr>
    </w:lvl>
  </w:abstractNum>
  <w:abstractNum w:abstractNumId="17" w15:restartNumberingAfterBreak="0">
    <w:nsid w:val="698D1770"/>
    <w:multiLevelType w:val="hybridMultilevel"/>
    <w:tmpl w:val="CF9E9250"/>
    <w:lvl w:ilvl="0" w:tplc="7FBE04CC">
      <w:start w:val="1"/>
      <w:numFmt w:val="bullet"/>
      <w:lvlText w:val=""/>
      <w:lvlJc w:val="left"/>
      <w:pPr>
        <w:ind w:left="1080" w:hanging="360"/>
      </w:pPr>
      <w:rPr>
        <w:rFonts w:ascii="Symbol" w:hAnsi="Symbol" w:hint="default"/>
      </w:rPr>
    </w:lvl>
    <w:lvl w:ilvl="1" w:tplc="4E522E18" w:tentative="1">
      <w:start w:val="1"/>
      <w:numFmt w:val="bullet"/>
      <w:lvlText w:val="o"/>
      <w:lvlJc w:val="left"/>
      <w:pPr>
        <w:ind w:left="1800" w:hanging="360"/>
      </w:pPr>
      <w:rPr>
        <w:rFonts w:ascii="Courier New" w:hAnsi="Courier New" w:cs="Courier New" w:hint="default"/>
      </w:rPr>
    </w:lvl>
    <w:lvl w:ilvl="2" w:tplc="DCC40692" w:tentative="1">
      <w:start w:val="1"/>
      <w:numFmt w:val="bullet"/>
      <w:lvlText w:val=""/>
      <w:lvlJc w:val="left"/>
      <w:pPr>
        <w:ind w:left="2520" w:hanging="360"/>
      </w:pPr>
      <w:rPr>
        <w:rFonts w:ascii="Wingdings" w:hAnsi="Wingdings" w:hint="default"/>
      </w:rPr>
    </w:lvl>
    <w:lvl w:ilvl="3" w:tplc="853E460E" w:tentative="1">
      <w:start w:val="1"/>
      <w:numFmt w:val="bullet"/>
      <w:lvlText w:val=""/>
      <w:lvlJc w:val="left"/>
      <w:pPr>
        <w:ind w:left="3240" w:hanging="360"/>
      </w:pPr>
      <w:rPr>
        <w:rFonts w:ascii="Symbol" w:hAnsi="Symbol" w:hint="default"/>
      </w:rPr>
    </w:lvl>
    <w:lvl w:ilvl="4" w:tplc="F30C9E72" w:tentative="1">
      <w:start w:val="1"/>
      <w:numFmt w:val="bullet"/>
      <w:lvlText w:val="o"/>
      <w:lvlJc w:val="left"/>
      <w:pPr>
        <w:ind w:left="3960" w:hanging="360"/>
      </w:pPr>
      <w:rPr>
        <w:rFonts w:ascii="Courier New" w:hAnsi="Courier New" w:cs="Courier New" w:hint="default"/>
      </w:rPr>
    </w:lvl>
    <w:lvl w:ilvl="5" w:tplc="298658EE" w:tentative="1">
      <w:start w:val="1"/>
      <w:numFmt w:val="bullet"/>
      <w:lvlText w:val=""/>
      <w:lvlJc w:val="left"/>
      <w:pPr>
        <w:ind w:left="4680" w:hanging="360"/>
      </w:pPr>
      <w:rPr>
        <w:rFonts w:ascii="Wingdings" w:hAnsi="Wingdings" w:hint="default"/>
      </w:rPr>
    </w:lvl>
    <w:lvl w:ilvl="6" w:tplc="328EEC6C" w:tentative="1">
      <w:start w:val="1"/>
      <w:numFmt w:val="bullet"/>
      <w:lvlText w:val=""/>
      <w:lvlJc w:val="left"/>
      <w:pPr>
        <w:ind w:left="5400" w:hanging="360"/>
      </w:pPr>
      <w:rPr>
        <w:rFonts w:ascii="Symbol" w:hAnsi="Symbol" w:hint="default"/>
      </w:rPr>
    </w:lvl>
    <w:lvl w:ilvl="7" w:tplc="9A461592" w:tentative="1">
      <w:start w:val="1"/>
      <w:numFmt w:val="bullet"/>
      <w:lvlText w:val="o"/>
      <w:lvlJc w:val="left"/>
      <w:pPr>
        <w:ind w:left="6120" w:hanging="360"/>
      </w:pPr>
      <w:rPr>
        <w:rFonts w:ascii="Courier New" w:hAnsi="Courier New" w:cs="Courier New" w:hint="default"/>
      </w:rPr>
    </w:lvl>
    <w:lvl w:ilvl="8" w:tplc="ECB45950" w:tentative="1">
      <w:start w:val="1"/>
      <w:numFmt w:val="bullet"/>
      <w:lvlText w:val=""/>
      <w:lvlJc w:val="left"/>
      <w:pPr>
        <w:ind w:left="6840" w:hanging="360"/>
      </w:pPr>
      <w:rPr>
        <w:rFonts w:ascii="Wingdings" w:hAnsi="Wingdings" w:hint="default"/>
      </w:rPr>
    </w:lvl>
  </w:abstractNum>
  <w:abstractNum w:abstractNumId="18" w15:restartNumberingAfterBreak="0">
    <w:nsid w:val="7AE15C01"/>
    <w:multiLevelType w:val="hybridMultilevel"/>
    <w:tmpl w:val="CEEA8B02"/>
    <w:lvl w:ilvl="0" w:tplc="34E0CD72">
      <w:start w:val="1"/>
      <w:numFmt w:val="bullet"/>
      <w:lvlText w:val=""/>
      <w:lvlJc w:val="left"/>
      <w:pPr>
        <w:ind w:left="1080" w:hanging="360"/>
      </w:pPr>
      <w:rPr>
        <w:rFonts w:ascii="Symbol" w:hAnsi="Symbol" w:hint="default"/>
      </w:rPr>
    </w:lvl>
    <w:lvl w:ilvl="1" w:tplc="3B6E4272" w:tentative="1">
      <w:start w:val="1"/>
      <w:numFmt w:val="bullet"/>
      <w:lvlText w:val="o"/>
      <w:lvlJc w:val="left"/>
      <w:pPr>
        <w:ind w:left="1800" w:hanging="360"/>
      </w:pPr>
      <w:rPr>
        <w:rFonts w:ascii="Courier New" w:hAnsi="Courier New" w:cs="Courier New" w:hint="default"/>
      </w:rPr>
    </w:lvl>
    <w:lvl w:ilvl="2" w:tplc="7E10B186" w:tentative="1">
      <w:start w:val="1"/>
      <w:numFmt w:val="bullet"/>
      <w:lvlText w:val=""/>
      <w:lvlJc w:val="left"/>
      <w:pPr>
        <w:ind w:left="2520" w:hanging="360"/>
      </w:pPr>
      <w:rPr>
        <w:rFonts w:ascii="Wingdings" w:hAnsi="Wingdings" w:hint="default"/>
      </w:rPr>
    </w:lvl>
    <w:lvl w:ilvl="3" w:tplc="E9B2FB0C" w:tentative="1">
      <w:start w:val="1"/>
      <w:numFmt w:val="bullet"/>
      <w:lvlText w:val=""/>
      <w:lvlJc w:val="left"/>
      <w:pPr>
        <w:ind w:left="3240" w:hanging="360"/>
      </w:pPr>
      <w:rPr>
        <w:rFonts w:ascii="Symbol" w:hAnsi="Symbol" w:hint="default"/>
      </w:rPr>
    </w:lvl>
    <w:lvl w:ilvl="4" w:tplc="B4885B96" w:tentative="1">
      <w:start w:val="1"/>
      <w:numFmt w:val="bullet"/>
      <w:lvlText w:val="o"/>
      <w:lvlJc w:val="left"/>
      <w:pPr>
        <w:ind w:left="3960" w:hanging="360"/>
      </w:pPr>
      <w:rPr>
        <w:rFonts w:ascii="Courier New" w:hAnsi="Courier New" w:cs="Courier New" w:hint="default"/>
      </w:rPr>
    </w:lvl>
    <w:lvl w:ilvl="5" w:tplc="06D0C6EC" w:tentative="1">
      <w:start w:val="1"/>
      <w:numFmt w:val="bullet"/>
      <w:lvlText w:val=""/>
      <w:lvlJc w:val="left"/>
      <w:pPr>
        <w:ind w:left="4680" w:hanging="360"/>
      </w:pPr>
      <w:rPr>
        <w:rFonts w:ascii="Wingdings" w:hAnsi="Wingdings" w:hint="default"/>
      </w:rPr>
    </w:lvl>
    <w:lvl w:ilvl="6" w:tplc="C0DAEC80" w:tentative="1">
      <w:start w:val="1"/>
      <w:numFmt w:val="bullet"/>
      <w:lvlText w:val=""/>
      <w:lvlJc w:val="left"/>
      <w:pPr>
        <w:ind w:left="5400" w:hanging="360"/>
      </w:pPr>
      <w:rPr>
        <w:rFonts w:ascii="Symbol" w:hAnsi="Symbol" w:hint="default"/>
      </w:rPr>
    </w:lvl>
    <w:lvl w:ilvl="7" w:tplc="8D5EE400" w:tentative="1">
      <w:start w:val="1"/>
      <w:numFmt w:val="bullet"/>
      <w:lvlText w:val="o"/>
      <w:lvlJc w:val="left"/>
      <w:pPr>
        <w:ind w:left="6120" w:hanging="360"/>
      </w:pPr>
      <w:rPr>
        <w:rFonts w:ascii="Courier New" w:hAnsi="Courier New" w:cs="Courier New" w:hint="default"/>
      </w:rPr>
    </w:lvl>
    <w:lvl w:ilvl="8" w:tplc="6DD853C4" w:tentative="1">
      <w:start w:val="1"/>
      <w:numFmt w:val="bullet"/>
      <w:lvlText w:val=""/>
      <w:lvlJc w:val="left"/>
      <w:pPr>
        <w:ind w:left="6840" w:hanging="360"/>
      </w:pPr>
      <w:rPr>
        <w:rFonts w:ascii="Wingdings" w:hAnsi="Wingdings" w:hint="default"/>
      </w:rPr>
    </w:lvl>
  </w:abstractNum>
  <w:num w:numId="1">
    <w:abstractNumId w:val="8"/>
  </w:num>
  <w:num w:numId="2">
    <w:abstractNumId w:val="14"/>
  </w:num>
  <w:num w:numId="3">
    <w:abstractNumId w:val="7"/>
  </w:num>
  <w:num w:numId="4">
    <w:abstractNumId w:val="10"/>
  </w:num>
  <w:num w:numId="5">
    <w:abstractNumId w:val="0"/>
    <w:lvlOverride w:ilvl="0">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5"/>
  </w:num>
  <w:num w:numId="8">
    <w:abstractNumId w:val="2"/>
  </w:num>
  <w:num w:numId="9">
    <w:abstractNumId w:val="0"/>
    <w:lvlOverride w:ilvl="0">
      <w:startOverride w:val="1"/>
    </w:lvlOverride>
  </w:num>
  <w:num w:numId="10">
    <w:abstractNumId w:val="16"/>
  </w:num>
  <w:num w:numId="11">
    <w:abstractNumId w:val="1"/>
  </w:num>
  <w:num w:numId="12">
    <w:abstractNumId w:val="13"/>
  </w:num>
  <w:num w:numId="13">
    <w:abstractNumId w:val="17"/>
  </w:num>
  <w:num w:numId="14">
    <w:abstractNumId w:val="18"/>
  </w:num>
  <w:num w:numId="15">
    <w:abstractNumId w:val="9"/>
  </w:num>
  <w:num w:numId="16">
    <w:abstractNumId w:val="5"/>
  </w:num>
  <w:num w:numId="17">
    <w:abstractNumId w:val="4"/>
  </w:num>
  <w:num w:numId="18">
    <w:abstractNumId w:val="11"/>
  </w:num>
  <w:num w:numId="19">
    <w:abstractNumId w:val="12"/>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C0B"/>
    <w:rsid w:val="00013DAE"/>
    <w:rsid w:val="0001557F"/>
    <w:rsid w:val="0001645B"/>
    <w:rsid w:val="00016ABB"/>
    <w:rsid w:val="00017DD2"/>
    <w:rsid w:val="0002327A"/>
    <w:rsid w:val="0003128F"/>
    <w:rsid w:val="00031BFA"/>
    <w:rsid w:val="0003287A"/>
    <w:rsid w:val="00041EDE"/>
    <w:rsid w:val="0004432B"/>
    <w:rsid w:val="00045739"/>
    <w:rsid w:val="0004602B"/>
    <w:rsid w:val="00046663"/>
    <w:rsid w:val="00052440"/>
    <w:rsid w:val="000539B8"/>
    <w:rsid w:val="00060494"/>
    <w:rsid w:val="00063D96"/>
    <w:rsid w:val="00072C34"/>
    <w:rsid w:val="000746F5"/>
    <w:rsid w:val="00077114"/>
    <w:rsid w:val="0008580E"/>
    <w:rsid w:val="00086714"/>
    <w:rsid w:val="00096DDE"/>
    <w:rsid w:val="000A28B4"/>
    <w:rsid w:val="000A38CB"/>
    <w:rsid w:val="000A4B20"/>
    <w:rsid w:val="000B25BD"/>
    <w:rsid w:val="000C4484"/>
    <w:rsid w:val="000C46A8"/>
    <w:rsid w:val="000C6B27"/>
    <w:rsid w:val="000C763E"/>
    <w:rsid w:val="000C7A84"/>
    <w:rsid w:val="000D0375"/>
    <w:rsid w:val="000D03A5"/>
    <w:rsid w:val="000D7EC3"/>
    <w:rsid w:val="000E0698"/>
    <w:rsid w:val="000E11EE"/>
    <w:rsid w:val="000E2526"/>
    <w:rsid w:val="000E2C64"/>
    <w:rsid w:val="000E414B"/>
    <w:rsid w:val="000E4B86"/>
    <w:rsid w:val="000E5202"/>
    <w:rsid w:val="000E58B2"/>
    <w:rsid w:val="000E713D"/>
    <w:rsid w:val="000F1552"/>
    <w:rsid w:val="000F501E"/>
    <w:rsid w:val="000F6423"/>
    <w:rsid w:val="00101A57"/>
    <w:rsid w:val="001045B5"/>
    <w:rsid w:val="00105CDA"/>
    <w:rsid w:val="001071AF"/>
    <w:rsid w:val="00110F0C"/>
    <w:rsid w:val="00111880"/>
    <w:rsid w:val="0011431B"/>
    <w:rsid w:val="00117664"/>
    <w:rsid w:val="00127DDB"/>
    <w:rsid w:val="001317A6"/>
    <w:rsid w:val="001510AE"/>
    <w:rsid w:val="0015365C"/>
    <w:rsid w:val="0015593E"/>
    <w:rsid w:val="00156F37"/>
    <w:rsid w:val="00156F7B"/>
    <w:rsid w:val="00157489"/>
    <w:rsid w:val="0016594E"/>
    <w:rsid w:val="00166B1A"/>
    <w:rsid w:val="00166BEC"/>
    <w:rsid w:val="00167A70"/>
    <w:rsid w:val="0017305F"/>
    <w:rsid w:val="00180413"/>
    <w:rsid w:val="00190151"/>
    <w:rsid w:val="001907E1"/>
    <w:rsid w:val="00193859"/>
    <w:rsid w:val="00193B4D"/>
    <w:rsid w:val="001970B4"/>
    <w:rsid w:val="00197B66"/>
    <w:rsid w:val="001A17AC"/>
    <w:rsid w:val="001A32AA"/>
    <w:rsid w:val="001B4F08"/>
    <w:rsid w:val="001B7D61"/>
    <w:rsid w:val="001C5F6C"/>
    <w:rsid w:val="001D0F9A"/>
    <w:rsid w:val="001D7287"/>
    <w:rsid w:val="001E151C"/>
    <w:rsid w:val="001E1F5B"/>
    <w:rsid w:val="001F791C"/>
    <w:rsid w:val="00200417"/>
    <w:rsid w:val="00200750"/>
    <w:rsid w:val="0020157F"/>
    <w:rsid w:val="00210F06"/>
    <w:rsid w:val="00213266"/>
    <w:rsid w:val="0021414B"/>
    <w:rsid w:val="002145AD"/>
    <w:rsid w:val="00221824"/>
    <w:rsid w:val="0022510E"/>
    <w:rsid w:val="00236E8F"/>
    <w:rsid w:val="002378DF"/>
    <w:rsid w:val="0024565F"/>
    <w:rsid w:val="0024779B"/>
    <w:rsid w:val="002525D5"/>
    <w:rsid w:val="00254558"/>
    <w:rsid w:val="00255E17"/>
    <w:rsid w:val="00257DCE"/>
    <w:rsid w:val="0026130D"/>
    <w:rsid w:val="0026398F"/>
    <w:rsid w:val="00264739"/>
    <w:rsid w:val="00264752"/>
    <w:rsid w:val="00265F2C"/>
    <w:rsid w:val="00267176"/>
    <w:rsid w:val="00271733"/>
    <w:rsid w:val="0029452C"/>
    <w:rsid w:val="002949FB"/>
    <w:rsid w:val="00294A62"/>
    <w:rsid w:val="002A31EB"/>
    <w:rsid w:val="002B178A"/>
    <w:rsid w:val="002C29CE"/>
    <w:rsid w:val="002D724D"/>
    <w:rsid w:val="002E1D69"/>
    <w:rsid w:val="002E68F1"/>
    <w:rsid w:val="002E6C5B"/>
    <w:rsid w:val="00301B2C"/>
    <w:rsid w:val="00311DF0"/>
    <w:rsid w:val="00312D0F"/>
    <w:rsid w:val="003227E1"/>
    <w:rsid w:val="00340524"/>
    <w:rsid w:val="00341004"/>
    <w:rsid w:val="003425A0"/>
    <w:rsid w:val="00347115"/>
    <w:rsid w:val="0035050D"/>
    <w:rsid w:val="0035457E"/>
    <w:rsid w:val="00361F84"/>
    <w:rsid w:val="00373FE3"/>
    <w:rsid w:val="0037403E"/>
    <w:rsid w:val="00376DD2"/>
    <w:rsid w:val="00390473"/>
    <w:rsid w:val="00390669"/>
    <w:rsid w:val="003977C1"/>
    <w:rsid w:val="003A1180"/>
    <w:rsid w:val="003A6583"/>
    <w:rsid w:val="003B12B2"/>
    <w:rsid w:val="003B56AD"/>
    <w:rsid w:val="003B56C7"/>
    <w:rsid w:val="003C2B70"/>
    <w:rsid w:val="003C4B53"/>
    <w:rsid w:val="003C616D"/>
    <w:rsid w:val="003D392D"/>
    <w:rsid w:val="003D5220"/>
    <w:rsid w:val="003D5463"/>
    <w:rsid w:val="003D5D8F"/>
    <w:rsid w:val="003E12EF"/>
    <w:rsid w:val="003E5292"/>
    <w:rsid w:val="003E5DDF"/>
    <w:rsid w:val="003E5FAE"/>
    <w:rsid w:val="003F0E8B"/>
    <w:rsid w:val="00401138"/>
    <w:rsid w:val="004013CD"/>
    <w:rsid w:val="00411E63"/>
    <w:rsid w:val="0041690A"/>
    <w:rsid w:val="00426BDE"/>
    <w:rsid w:val="004334E2"/>
    <w:rsid w:val="00435323"/>
    <w:rsid w:val="00437D54"/>
    <w:rsid w:val="00441D03"/>
    <w:rsid w:val="00451740"/>
    <w:rsid w:val="00452421"/>
    <w:rsid w:val="0045748B"/>
    <w:rsid w:val="00463EC0"/>
    <w:rsid w:val="00466516"/>
    <w:rsid w:val="004757AD"/>
    <w:rsid w:val="00482C93"/>
    <w:rsid w:val="00482DC6"/>
    <w:rsid w:val="0048351F"/>
    <w:rsid w:val="004935E9"/>
    <w:rsid w:val="004946D1"/>
    <w:rsid w:val="00495388"/>
    <w:rsid w:val="004A1B75"/>
    <w:rsid w:val="004A46EE"/>
    <w:rsid w:val="004A5F7B"/>
    <w:rsid w:val="004A67F9"/>
    <w:rsid w:val="004B09E8"/>
    <w:rsid w:val="004B3567"/>
    <w:rsid w:val="004C01B6"/>
    <w:rsid w:val="004C11D7"/>
    <w:rsid w:val="004C7085"/>
    <w:rsid w:val="004D0266"/>
    <w:rsid w:val="004D11A6"/>
    <w:rsid w:val="004D4779"/>
    <w:rsid w:val="004D4EE2"/>
    <w:rsid w:val="004D57D0"/>
    <w:rsid w:val="004D62BE"/>
    <w:rsid w:val="004E0238"/>
    <w:rsid w:val="004E4FDF"/>
    <w:rsid w:val="004E7548"/>
    <w:rsid w:val="005046DC"/>
    <w:rsid w:val="00504A2F"/>
    <w:rsid w:val="005113BC"/>
    <w:rsid w:val="005257D3"/>
    <w:rsid w:val="00533807"/>
    <w:rsid w:val="00551CEF"/>
    <w:rsid w:val="0055384B"/>
    <w:rsid w:val="00556CD8"/>
    <w:rsid w:val="005660FC"/>
    <w:rsid w:val="00566109"/>
    <w:rsid w:val="005667AE"/>
    <w:rsid w:val="00570967"/>
    <w:rsid w:val="0057429A"/>
    <w:rsid w:val="005767A1"/>
    <w:rsid w:val="00580921"/>
    <w:rsid w:val="00584283"/>
    <w:rsid w:val="00586E9A"/>
    <w:rsid w:val="00587C9C"/>
    <w:rsid w:val="00590C17"/>
    <w:rsid w:val="005924DF"/>
    <w:rsid w:val="005967E3"/>
    <w:rsid w:val="005A7F60"/>
    <w:rsid w:val="005B17AA"/>
    <w:rsid w:val="005B1875"/>
    <w:rsid w:val="005B2892"/>
    <w:rsid w:val="005C630E"/>
    <w:rsid w:val="005C7A8D"/>
    <w:rsid w:val="005C7F25"/>
    <w:rsid w:val="005D227C"/>
    <w:rsid w:val="005E1BA6"/>
    <w:rsid w:val="005E2284"/>
    <w:rsid w:val="005E28D3"/>
    <w:rsid w:val="005F1ABD"/>
    <w:rsid w:val="005F4AD9"/>
    <w:rsid w:val="006032A4"/>
    <w:rsid w:val="00603F3E"/>
    <w:rsid w:val="00604496"/>
    <w:rsid w:val="006053E1"/>
    <w:rsid w:val="00605C13"/>
    <w:rsid w:val="00607DD9"/>
    <w:rsid w:val="00613206"/>
    <w:rsid w:val="00614962"/>
    <w:rsid w:val="00616C60"/>
    <w:rsid w:val="00624F98"/>
    <w:rsid w:val="0063248B"/>
    <w:rsid w:val="006525DF"/>
    <w:rsid w:val="006534BD"/>
    <w:rsid w:val="006642BF"/>
    <w:rsid w:val="00672C95"/>
    <w:rsid w:val="0068520C"/>
    <w:rsid w:val="006905AE"/>
    <w:rsid w:val="00692C63"/>
    <w:rsid w:val="00692CFD"/>
    <w:rsid w:val="006A2C85"/>
    <w:rsid w:val="006A353A"/>
    <w:rsid w:val="006A37C7"/>
    <w:rsid w:val="006A7043"/>
    <w:rsid w:val="006B5311"/>
    <w:rsid w:val="006C1D2D"/>
    <w:rsid w:val="006C4D09"/>
    <w:rsid w:val="006C5208"/>
    <w:rsid w:val="006C7BB1"/>
    <w:rsid w:val="006C7CDD"/>
    <w:rsid w:val="006D0903"/>
    <w:rsid w:val="006D670F"/>
    <w:rsid w:val="006D6DEA"/>
    <w:rsid w:val="006E1C0E"/>
    <w:rsid w:val="006E1C6A"/>
    <w:rsid w:val="006E571B"/>
    <w:rsid w:val="006E7B58"/>
    <w:rsid w:val="006F65FC"/>
    <w:rsid w:val="007017F7"/>
    <w:rsid w:val="007026A8"/>
    <w:rsid w:val="0070799D"/>
    <w:rsid w:val="00707BCC"/>
    <w:rsid w:val="00710C24"/>
    <w:rsid w:val="00710C7A"/>
    <w:rsid w:val="00717D2A"/>
    <w:rsid w:val="007229E3"/>
    <w:rsid w:val="007274B1"/>
    <w:rsid w:val="00732FC2"/>
    <w:rsid w:val="00735A24"/>
    <w:rsid w:val="007439B4"/>
    <w:rsid w:val="0074722B"/>
    <w:rsid w:val="00747955"/>
    <w:rsid w:val="00752F27"/>
    <w:rsid w:val="00763CA3"/>
    <w:rsid w:val="00780A38"/>
    <w:rsid w:val="0079068C"/>
    <w:rsid w:val="007944A1"/>
    <w:rsid w:val="00794B5C"/>
    <w:rsid w:val="00796B34"/>
    <w:rsid w:val="00797808"/>
    <w:rsid w:val="007A4F9A"/>
    <w:rsid w:val="007A7784"/>
    <w:rsid w:val="007C306C"/>
    <w:rsid w:val="007C4A25"/>
    <w:rsid w:val="007D1951"/>
    <w:rsid w:val="007E0ED5"/>
    <w:rsid w:val="007E291B"/>
    <w:rsid w:val="007F176E"/>
    <w:rsid w:val="007F3FC2"/>
    <w:rsid w:val="00802D30"/>
    <w:rsid w:val="0080313C"/>
    <w:rsid w:val="008134FF"/>
    <w:rsid w:val="00813892"/>
    <w:rsid w:val="00821888"/>
    <w:rsid w:val="008250C8"/>
    <w:rsid w:val="008304B6"/>
    <w:rsid w:val="00830C25"/>
    <w:rsid w:val="0084166D"/>
    <w:rsid w:val="00847BFD"/>
    <w:rsid w:val="0085617A"/>
    <w:rsid w:val="008569D6"/>
    <w:rsid w:val="00861AEB"/>
    <w:rsid w:val="00864C74"/>
    <w:rsid w:val="00876840"/>
    <w:rsid w:val="00884DBA"/>
    <w:rsid w:val="00886729"/>
    <w:rsid w:val="008A5738"/>
    <w:rsid w:val="008A78A0"/>
    <w:rsid w:val="008C5B31"/>
    <w:rsid w:val="008C65DA"/>
    <w:rsid w:val="008C6CB7"/>
    <w:rsid w:val="008D1E45"/>
    <w:rsid w:val="008D50BF"/>
    <w:rsid w:val="008D6035"/>
    <w:rsid w:val="008E0FFD"/>
    <w:rsid w:val="008F543B"/>
    <w:rsid w:val="00903139"/>
    <w:rsid w:val="00914CEA"/>
    <w:rsid w:val="00915610"/>
    <w:rsid w:val="00921981"/>
    <w:rsid w:val="00941E4F"/>
    <w:rsid w:val="0094375D"/>
    <w:rsid w:val="00944203"/>
    <w:rsid w:val="00952698"/>
    <w:rsid w:val="00954C0B"/>
    <w:rsid w:val="00956193"/>
    <w:rsid w:val="00960881"/>
    <w:rsid w:val="00967AD5"/>
    <w:rsid w:val="00973F12"/>
    <w:rsid w:val="0097525E"/>
    <w:rsid w:val="00977ED6"/>
    <w:rsid w:val="00980393"/>
    <w:rsid w:val="009831D5"/>
    <w:rsid w:val="0098480E"/>
    <w:rsid w:val="00986DEA"/>
    <w:rsid w:val="009A796C"/>
    <w:rsid w:val="009B141F"/>
    <w:rsid w:val="009B792E"/>
    <w:rsid w:val="009C3221"/>
    <w:rsid w:val="009D6217"/>
    <w:rsid w:val="009D6B7D"/>
    <w:rsid w:val="009E12FA"/>
    <w:rsid w:val="009E2292"/>
    <w:rsid w:val="009E3394"/>
    <w:rsid w:val="009E698B"/>
    <w:rsid w:val="009F1FF7"/>
    <w:rsid w:val="009F6C6D"/>
    <w:rsid w:val="00A016DC"/>
    <w:rsid w:val="00A06D58"/>
    <w:rsid w:val="00A06D72"/>
    <w:rsid w:val="00A169D0"/>
    <w:rsid w:val="00A25ABB"/>
    <w:rsid w:val="00A2753E"/>
    <w:rsid w:val="00A30120"/>
    <w:rsid w:val="00A364B5"/>
    <w:rsid w:val="00A36E45"/>
    <w:rsid w:val="00A373A6"/>
    <w:rsid w:val="00A4396E"/>
    <w:rsid w:val="00A440A8"/>
    <w:rsid w:val="00A44CAE"/>
    <w:rsid w:val="00A4657E"/>
    <w:rsid w:val="00A5382B"/>
    <w:rsid w:val="00A565DC"/>
    <w:rsid w:val="00A670F2"/>
    <w:rsid w:val="00A7291C"/>
    <w:rsid w:val="00A7357E"/>
    <w:rsid w:val="00A74A30"/>
    <w:rsid w:val="00A7649B"/>
    <w:rsid w:val="00A842A0"/>
    <w:rsid w:val="00A87A66"/>
    <w:rsid w:val="00A9410B"/>
    <w:rsid w:val="00A94E59"/>
    <w:rsid w:val="00AA0C2A"/>
    <w:rsid w:val="00AA0EF2"/>
    <w:rsid w:val="00AA2A84"/>
    <w:rsid w:val="00AA3D6E"/>
    <w:rsid w:val="00AA479A"/>
    <w:rsid w:val="00AA6E78"/>
    <w:rsid w:val="00AB0B8F"/>
    <w:rsid w:val="00AB27D2"/>
    <w:rsid w:val="00AB2B8B"/>
    <w:rsid w:val="00AB4CB1"/>
    <w:rsid w:val="00AB5945"/>
    <w:rsid w:val="00AB5BCA"/>
    <w:rsid w:val="00AB6439"/>
    <w:rsid w:val="00AB6470"/>
    <w:rsid w:val="00AB73AB"/>
    <w:rsid w:val="00AC2E4B"/>
    <w:rsid w:val="00AD3CB5"/>
    <w:rsid w:val="00AD4FF9"/>
    <w:rsid w:val="00AD6D5B"/>
    <w:rsid w:val="00AD706B"/>
    <w:rsid w:val="00AE6517"/>
    <w:rsid w:val="00AE65F8"/>
    <w:rsid w:val="00AF4B81"/>
    <w:rsid w:val="00AF58CE"/>
    <w:rsid w:val="00B007D0"/>
    <w:rsid w:val="00B04FD6"/>
    <w:rsid w:val="00B101FA"/>
    <w:rsid w:val="00B10A76"/>
    <w:rsid w:val="00B13A48"/>
    <w:rsid w:val="00B20766"/>
    <w:rsid w:val="00B21D4C"/>
    <w:rsid w:val="00B25007"/>
    <w:rsid w:val="00B32989"/>
    <w:rsid w:val="00B43245"/>
    <w:rsid w:val="00B457B3"/>
    <w:rsid w:val="00B57068"/>
    <w:rsid w:val="00B6505E"/>
    <w:rsid w:val="00B67860"/>
    <w:rsid w:val="00B700E6"/>
    <w:rsid w:val="00B7045F"/>
    <w:rsid w:val="00B736C4"/>
    <w:rsid w:val="00B7533E"/>
    <w:rsid w:val="00B80F5C"/>
    <w:rsid w:val="00B8325E"/>
    <w:rsid w:val="00B8490E"/>
    <w:rsid w:val="00B85366"/>
    <w:rsid w:val="00B929BC"/>
    <w:rsid w:val="00B93A20"/>
    <w:rsid w:val="00B959A3"/>
    <w:rsid w:val="00B96820"/>
    <w:rsid w:val="00B96D23"/>
    <w:rsid w:val="00BA4A73"/>
    <w:rsid w:val="00BA5D13"/>
    <w:rsid w:val="00BA7443"/>
    <w:rsid w:val="00BA7B3E"/>
    <w:rsid w:val="00BB0BDB"/>
    <w:rsid w:val="00BB297D"/>
    <w:rsid w:val="00BC6DFC"/>
    <w:rsid w:val="00BD483D"/>
    <w:rsid w:val="00BD4AD3"/>
    <w:rsid w:val="00BD5E05"/>
    <w:rsid w:val="00BE1733"/>
    <w:rsid w:val="00BE53D6"/>
    <w:rsid w:val="00BF1284"/>
    <w:rsid w:val="00BF3AA2"/>
    <w:rsid w:val="00BF4213"/>
    <w:rsid w:val="00BF5A0B"/>
    <w:rsid w:val="00BF61E8"/>
    <w:rsid w:val="00C02920"/>
    <w:rsid w:val="00C04A36"/>
    <w:rsid w:val="00C04C93"/>
    <w:rsid w:val="00C173C1"/>
    <w:rsid w:val="00C306C5"/>
    <w:rsid w:val="00C4412C"/>
    <w:rsid w:val="00C50F6F"/>
    <w:rsid w:val="00C53810"/>
    <w:rsid w:val="00C5478C"/>
    <w:rsid w:val="00C5547A"/>
    <w:rsid w:val="00C571A6"/>
    <w:rsid w:val="00C57610"/>
    <w:rsid w:val="00C6365D"/>
    <w:rsid w:val="00C70B1A"/>
    <w:rsid w:val="00C744BD"/>
    <w:rsid w:val="00C87751"/>
    <w:rsid w:val="00C87BA4"/>
    <w:rsid w:val="00C927C5"/>
    <w:rsid w:val="00C92E46"/>
    <w:rsid w:val="00C96D4A"/>
    <w:rsid w:val="00C96F91"/>
    <w:rsid w:val="00CA3BFF"/>
    <w:rsid w:val="00CA3D8C"/>
    <w:rsid w:val="00CB2ABF"/>
    <w:rsid w:val="00CB2D25"/>
    <w:rsid w:val="00CB3A00"/>
    <w:rsid w:val="00CB6570"/>
    <w:rsid w:val="00CB6EC3"/>
    <w:rsid w:val="00CC7DC0"/>
    <w:rsid w:val="00CD319D"/>
    <w:rsid w:val="00CE3BBA"/>
    <w:rsid w:val="00CE45C5"/>
    <w:rsid w:val="00CE7E19"/>
    <w:rsid w:val="00CF0945"/>
    <w:rsid w:val="00CF57CB"/>
    <w:rsid w:val="00CF6A3D"/>
    <w:rsid w:val="00CF6E4F"/>
    <w:rsid w:val="00D01CBA"/>
    <w:rsid w:val="00D05BC3"/>
    <w:rsid w:val="00D1018E"/>
    <w:rsid w:val="00D12104"/>
    <w:rsid w:val="00D138E1"/>
    <w:rsid w:val="00D13C54"/>
    <w:rsid w:val="00D16CDD"/>
    <w:rsid w:val="00D17913"/>
    <w:rsid w:val="00D17DE4"/>
    <w:rsid w:val="00D22D3A"/>
    <w:rsid w:val="00D23853"/>
    <w:rsid w:val="00D253EF"/>
    <w:rsid w:val="00D25B68"/>
    <w:rsid w:val="00D32FC3"/>
    <w:rsid w:val="00D3475F"/>
    <w:rsid w:val="00D44712"/>
    <w:rsid w:val="00D55F6F"/>
    <w:rsid w:val="00D7712F"/>
    <w:rsid w:val="00D81B85"/>
    <w:rsid w:val="00D82253"/>
    <w:rsid w:val="00D872D0"/>
    <w:rsid w:val="00D918B7"/>
    <w:rsid w:val="00DA2FE9"/>
    <w:rsid w:val="00DA5373"/>
    <w:rsid w:val="00DA6779"/>
    <w:rsid w:val="00DA7482"/>
    <w:rsid w:val="00DB3B86"/>
    <w:rsid w:val="00DB5469"/>
    <w:rsid w:val="00DC2004"/>
    <w:rsid w:val="00DC5806"/>
    <w:rsid w:val="00DC723A"/>
    <w:rsid w:val="00DD2DAF"/>
    <w:rsid w:val="00DD401C"/>
    <w:rsid w:val="00DE0BFB"/>
    <w:rsid w:val="00DE16DD"/>
    <w:rsid w:val="00DE27C5"/>
    <w:rsid w:val="00DE6598"/>
    <w:rsid w:val="00DF4CCE"/>
    <w:rsid w:val="00DF4F30"/>
    <w:rsid w:val="00DF50E2"/>
    <w:rsid w:val="00DF795F"/>
    <w:rsid w:val="00E14601"/>
    <w:rsid w:val="00E14AD6"/>
    <w:rsid w:val="00E276E4"/>
    <w:rsid w:val="00E331A1"/>
    <w:rsid w:val="00E33892"/>
    <w:rsid w:val="00E46D7E"/>
    <w:rsid w:val="00E5034B"/>
    <w:rsid w:val="00E521F9"/>
    <w:rsid w:val="00E53EAB"/>
    <w:rsid w:val="00E71950"/>
    <w:rsid w:val="00E71F8E"/>
    <w:rsid w:val="00E72CC8"/>
    <w:rsid w:val="00E8112E"/>
    <w:rsid w:val="00E819C6"/>
    <w:rsid w:val="00E845AD"/>
    <w:rsid w:val="00E868B1"/>
    <w:rsid w:val="00E92B25"/>
    <w:rsid w:val="00E92FE1"/>
    <w:rsid w:val="00EA606D"/>
    <w:rsid w:val="00EA6E4F"/>
    <w:rsid w:val="00EA7039"/>
    <w:rsid w:val="00EA7BE9"/>
    <w:rsid w:val="00EB7F6D"/>
    <w:rsid w:val="00EC039A"/>
    <w:rsid w:val="00EC2F8A"/>
    <w:rsid w:val="00EC5373"/>
    <w:rsid w:val="00EC78BC"/>
    <w:rsid w:val="00ED1125"/>
    <w:rsid w:val="00ED1FB4"/>
    <w:rsid w:val="00ED44F1"/>
    <w:rsid w:val="00EE0D5B"/>
    <w:rsid w:val="00EE326D"/>
    <w:rsid w:val="00EE4F3E"/>
    <w:rsid w:val="00EE65D9"/>
    <w:rsid w:val="00EF0751"/>
    <w:rsid w:val="00EF3A60"/>
    <w:rsid w:val="00F03B92"/>
    <w:rsid w:val="00F136F0"/>
    <w:rsid w:val="00F20490"/>
    <w:rsid w:val="00F33520"/>
    <w:rsid w:val="00F33DF2"/>
    <w:rsid w:val="00F33F00"/>
    <w:rsid w:val="00F3620B"/>
    <w:rsid w:val="00F446A3"/>
    <w:rsid w:val="00F468CB"/>
    <w:rsid w:val="00F47A4C"/>
    <w:rsid w:val="00F50D12"/>
    <w:rsid w:val="00F675AF"/>
    <w:rsid w:val="00F83FC5"/>
    <w:rsid w:val="00F872FC"/>
    <w:rsid w:val="00F90E1D"/>
    <w:rsid w:val="00FB24E0"/>
    <w:rsid w:val="00FB7406"/>
    <w:rsid w:val="00FC2C91"/>
    <w:rsid w:val="00FC50A7"/>
    <w:rsid w:val="00FD37F4"/>
    <w:rsid w:val="00FE4EB8"/>
    <w:rsid w:val="00FE574D"/>
    <w:rsid w:val="00FE667D"/>
    <w:rsid w:val="00FF62DA"/>
    <w:rsid w:val="00FF749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AA34DC5-363B-4E57-B7B8-6C322D907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954C0B"/>
    <w:pPr>
      <w:bidi/>
    </w:pPr>
  </w:style>
  <w:style w:type="paragraph" w:styleId="1">
    <w:name w:val="heading 1"/>
    <w:basedOn w:val="a0"/>
    <w:next w:val="a0"/>
    <w:link w:val="10"/>
    <w:uiPriority w:val="9"/>
    <w:qFormat/>
    <w:rsid w:val="00063D9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954C0B"/>
    <w:pPr>
      <w:ind w:left="720"/>
      <w:contextualSpacing/>
    </w:pPr>
  </w:style>
  <w:style w:type="paragraph" w:styleId="a5">
    <w:name w:val="header"/>
    <w:basedOn w:val="a0"/>
    <w:link w:val="a6"/>
    <w:uiPriority w:val="99"/>
    <w:unhideWhenUsed/>
    <w:rsid w:val="00954C0B"/>
    <w:pPr>
      <w:tabs>
        <w:tab w:val="center" w:pos="4153"/>
        <w:tab w:val="right" w:pos="8306"/>
      </w:tabs>
      <w:spacing w:after="0" w:line="240" w:lineRule="auto"/>
    </w:pPr>
  </w:style>
  <w:style w:type="character" w:customStyle="1" w:styleId="a6">
    <w:name w:val="כותרת עליונה תו"/>
    <w:basedOn w:val="a1"/>
    <w:link w:val="a5"/>
    <w:uiPriority w:val="99"/>
    <w:rsid w:val="00954C0B"/>
  </w:style>
  <w:style w:type="paragraph" w:styleId="a7">
    <w:name w:val="footer"/>
    <w:basedOn w:val="a0"/>
    <w:link w:val="a8"/>
    <w:uiPriority w:val="99"/>
    <w:unhideWhenUsed/>
    <w:rsid w:val="00954C0B"/>
    <w:pPr>
      <w:tabs>
        <w:tab w:val="center" w:pos="4153"/>
        <w:tab w:val="right" w:pos="8306"/>
      </w:tabs>
      <w:spacing w:after="0" w:line="240" w:lineRule="auto"/>
    </w:pPr>
  </w:style>
  <w:style w:type="character" w:customStyle="1" w:styleId="a8">
    <w:name w:val="כותרת תחתונה תו"/>
    <w:basedOn w:val="a1"/>
    <w:link w:val="a7"/>
    <w:uiPriority w:val="99"/>
    <w:rsid w:val="00954C0B"/>
  </w:style>
  <w:style w:type="character" w:styleId="Hyperlink">
    <w:name w:val="Hyperlink"/>
    <w:rsid w:val="00954C0B"/>
    <w:rPr>
      <w:color w:val="0000FF"/>
      <w:u w:val="single"/>
    </w:rPr>
  </w:style>
  <w:style w:type="character" w:styleId="a9">
    <w:name w:val="annotation reference"/>
    <w:basedOn w:val="a1"/>
    <w:uiPriority w:val="99"/>
    <w:semiHidden/>
    <w:unhideWhenUsed/>
    <w:rsid w:val="00954C0B"/>
    <w:rPr>
      <w:sz w:val="16"/>
      <w:szCs w:val="16"/>
    </w:rPr>
  </w:style>
  <w:style w:type="paragraph" w:styleId="aa">
    <w:name w:val="annotation text"/>
    <w:basedOn w:val="a0"/>
    <w:link w:val="ab"/>
    <w:uiPriority w:val="99"/>
    <w:semiHidden/>
    <w:unhideWhenUsed/>
    <w:rsid w:val="00954C0B"/>
    <w:pPr>
      <w:spacing w:line="240" w:lineRule="auto"/>
    </w:pPr>
    <w:rPr>
      <w:sz w:val="20"/>
      <w:szCs w:val="20"/>
    </w:rPr>
  </w:style>
  <w:style w:type="character" w:customStyle="1" w:styleId="ab">
    <w:name w:val="טקסט הערה תו"/>
    <w:basedOn w:val="a1"/>
    <w:link w:val="aa"/>
    <w:uiPriority w:val="99"/>
    <w:semiHidden/>
    <w:rsid w:val="00954C0B"/>
    <w:rPr>
      <w:sz w:val="20"/>
      <w:szCs w:val="20"/>
    </w:rPr>
  </w:style>
  <w:style w:type="paragraph" w:styleId="ac">
    <w:name w:val="footnote text"/>
    <w:basedOn w:val="a0"/>
    <w:link w:val="ad"/>
    <w:unhideWhenUsed/>
    <w:rsid w:val="00954C0B"/>
    <w:pPr>
      <w:spacing w:after="0" w:line="240" w:lineRule="auto"/>
    </w:pPr>
    <w:rPr>
      <w:sz w:val="20"/>
      <w:szCs w:val="20"/>
    </w:rPr>
  </w:style>
  <w:style w:type="character" w:customStyle="1" w:styleId="ad">
    <w:name w:val="טקסט הערת שוליים תו"/>
    <w:basedOn w:val="a1"/>
    <w:link w:val="ac"/>
    <w:rsid w:val="00954C0B"/>
    <w:rPr>
      <w:sz w:val="20"/>
      <w:szCs w:val="20"/>
    </w:rPr>
  </w:style>
  <w:style w:type="character" w:styleId="ae">
    <w:name w:val="footnote reference"/>
    <w:basedOn w:val="a1"/>
    <w:unhideWhenUsed/>
    <w:rsid w:val="00954C0B"/>
    <w:rPr>
      <w:vertAlign w:val="superscript"/>
    </w:rPr>
  </w:style>
  <w:style w:type="paragraph" w:styleId="a">
    <w:name w:val="List Number"/>
    <w:basedOn w:val="a0"/>
    <w:unhideWhenUsed/>
    <w:rsid w:val="00954C0B"/>
    <w:pPr>
      <w:keepLines/>
      <w:numPr>
        <w:numId w:val="5"/>
      </w:numPr>
      <w:spacing w:after="0" w:line="360" w:lineRule="auto"/>
      <w:contextualSpacing/>
      <w:jc w:val="both"/>
    </w:pPr>
    <w:rPr>
      <w:rFonts w:ascii="Times New Roman" w:eastAsia="Times New Roman" w:hAnsi="Times New Roman" w:cs="David"/>
      <w:szCs w:val="24"/>
    </w:rPr>
  </w:style>
  <w:style w:type="paragraph" w:styleId="af">
    <w:name w:val="Balloon Text"/>
    <w:basedOn w:val="a0"/>
    <w:link w:val="af0"/>
    <w:uiPriority w:val="99"/>
    <w:semiHidden/>
    <w:unhideWhenUsed/>
    <w:rsid w:val="00954C0B"/>
    <w:pPr>
      <w:spacing w:after="0" w:line="240" w:lineRule="auto"/>
    </w:pPr>
    <w:rPr>
      <w:rFonts w:ascii="Tahoma" w:hAnsi="Tahoma" w:cs="Tahoma"/>
      <w:sz w:val="18"/>
      <w:szCs w:val="18"/>
    </w:rPr>
  </w:style>
  <w:style w:type="character" w:customStyle="1" w:styleId="af0">
    <w:name w:val="טקסט בלונים תו"/>
    <w:basedOn w:val="a1"/>
    <w:link w:val="af"/>
    <w:uiPriority w:val="99"/>
    <w:semiHidden/>
    <w:rsid w:val="00954C0B"/>
    <w:rPr>
      <w:rFonts w:ascii="Tahoma" w:hAnsi="Tahoma" w:cs="Tahoma"/>
      <w:sz w:val="18"/>
      <w:szCs w:val="18"/>
    </w:rPr>
  </w:style>
  <w:style w:type="paragraph" w:styleId="af1">
    <w:name w:val="annotation subject"/>
    <w:basedOn w:val="aa"/>
    <w:next w:val="aa"/>
    <w:link w:val="af2"/>
    <w:uiPriority w:val="99"/>
    <w:semiHidden/>
    <w:unhideWhenUsed/>
    <w:rsid w:val="00DF50E2"/>
    <w:rPr>
      <w:b/>
      <w:bCs/>
    </w:rPr>
  </w:style>
  <w:style w:type="character" w:customStyle="1" w:styleId="af2">
    <w:name w:val="נושא הערה תו"/>
    <w:basedOn w:val="ab"/>
    <w:link w:val="af1"/>
    <w:uiPriority w:val="99"/>
    <w:semiHidden/>
    <w:rsid w:val="00DF50E2"/>
    <w:rPr>
      <w:b/>
      <w:bCs/>
      <w:sz w:val="20"/>
      <w:szCs w:val="20"/>
    </w:rPr>
  </w:style>
  <w:style w:type="paragraph" w:styleId="af3">
    <w:name w:val="Revision"/>
    <w:hidden/>
    <w:uiPriority w:val="99"/>
    <w:semiHidden/>
    <w:rsid w:val="00FE574D"/>
    <w:pPr>
      <w:spacing w:after="0" w:line="240" w:lineRule="auto"/>
    </w:pPr>
  </w:style>
  <w:style w:type="character" w:styleId="FollowedHyperlink">
    <w:name w:val="FollowedHyperlink"/>
    <w:basedOn w:val="a1"/>
    <w:uiPriority w:val="99"/>
    <w:semiHidden/>
    <w:unhideWhenUsed/>
    <w:rsid w:val="0080313C"/>
    <w:rPr>
      <w:color w:val="954F72" w:themeColor="followedHyperlink"/>
      <w:u w:val="single"/>
    </w:rPr>
  </w:style>
  <w:style w:type="character" w:customStyle="1" w:styleId="10">
    <w:name w:val="כותרת 1 תו"/>
    <w:basedOn w:val="a1"/>
    <w:link w:val="1"/>
    <w:uiPriority w:val="9"/>
    <w:rsid w:val="00063D96"/>
    <w:rPr>
      <w:rFonts w:asciiTheme="majorHAnsi" w:eastAsiaTheme="majorEastAsia" w:hAnsiTheme="majorHAnsi" w:cstheme="majorBidi"/>
      <w:color w:val="2E74B5" w:themeColor="accent1" w:themeShade="BF"/>
      <w:sz w:val="32"/>
      <w:szCs w:val="32"/>
    </w:rPr>
  </w:style>
  <w:style w:type="paragraph" w:styleId="af4">
    <w:name w:val="TOC Heading"/>
    <w:basedOn w:val="1"/>
    <w:next w:val="a0"/>
    <w:uiPriority w:val="39"/>
    <w:semiHidden/>
    <w:unhideWhenUsed/>
    <w:qFormat/>
    <w:rsid w:val="00063D96"/>
    <w:pPr>
      <w:keepNext w:val="0"/>
      <w:keepLines w:val="0"/>
      <w:widowControl w:val="0"/>
      <w:bidi w:val="0"/>
      <w:spacing w:before="0"/>
      <w:outlineLvl w:val="9"/>
    </w:pPr>
    <w:rPr>
      <w:rFonts w:asciiTheme="minorHAnsi" w:eastAsiaTheme="minorHAnsi" w:hAnsiTheme="minorHAnsi" w:cstheme="minorBidi"/>
      <w:b/>
      <w:bCs/>
      <w:caps/>
      <w:color w:val="auto"/>
      <w:spacing w:val="15"/>
      <w:sz w:val="36"/>
      <w:szCs w:val="3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www.mof.gov.il/h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89A1CA-8858-4F5A-B137-2CE012850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1419</Words>
  <Characters>7095</Characters>
  <Application>Microsoft Office Word</Application>
  <DocSecurity>0</DocSecurity>
  <Lines>59</Lines>
  <Paragraphs>16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אסף נחמני</dc:creator>
  <cp:lastModifiedBy>ואסים חלבי</cp:lastModifiedBy>
  <cp:revision>5</cp:revision>
  <dcterms:created xsi:type="dcterms:W3CDTF">2023-07-05T12:45:00Z</dcterms:created>
  <dcterms:modified xsi:type="dcterms:W3CDTF">2023-09-07T09:18:00Z</dcterms:modified>
</cp:coreProperties>
</file>