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file lifecycle</w:t>
      </w:r>
    </w:p>
    <w:p>
      <w:r>
        <w:t>Context managers release resources after a with block, including when exceptions are raised.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Python files must close after a with block</w:t>
            </w:r>
          </w:p>
        </w:tc>
        <w:tc>
          <w:tcPr>
            <w:tcW w:type="dxa" w:w="4320"/>
          </w:tcPr>
          <w:p>
            <w:r>
              <w:t>Closed file handles can be reused safely.</w:t>
            </w:r>
          </w:p>
        </w:tc>
      </w:tr>
    </w:tbl>
    <w:p>
      <w:r>
        <w:t>Keep the original Word file for citation review after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