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  <w:rPr>
          <w:rFonts w:ascii="Calibri" w:cs="Calibri" w:eastAsia="Calibri" w:hAnsi="Calibri"/>
          <w:b/>
          <w:bCs/>
          <w:color w:val="000000"/>
          <w:sz w:val="48"/>
          <w:szCs w:val="48"/>
        </w:rPr>
      </w:pPr>
      <w:r>
        <w:t xml:space="preserve">WUTCHARIN THATAN</w:t>
      </w:r>
    </w:p>
    <w:p>
      <w:pPr>
        <w:spacing w:after="200"/>
        <w:jc w:val="center"/>
        <w:rPr>
          <w:rFonts w:ascii="Calibri" w:cs="Calibri" w:eastAsia="Calibri" w:hAnsi="Calibri"/>
          <w:color w:val="555555"/>
          <w:sz w:val="24"/>
          <w:szCs w:val="24"/>
        </w:rPr>
      </w:pPr>
      <w:r>
        <w:t xml:space="preserve">EXECUTIVE LEADER - AI, AUTOMATION &amp; ANALYTICS</w:t>
      </w:r>
    </w:p>
    <w:p>
      <w:pPr>
        <w:pBdr>
          <w:bottom w:color="eeeeee" w:sz="6" w:space="20"/>
        </w:pBdr>
        <w:spacing w:after="400"/>
        <w:jc w:val="center"/>
        <w:rPr>
          <w:rFonts w:ascii="Calibri" w:cs="Calibri" w:eastAsia="Calibri" w:hAnsi="Calibri"/>
          <w:color w:val="333333"/>
          <w:sz w:val="20"/>
          <w:szCs w:val="20"/>
        </w:rPr>
      </w:pPr>
      <w:r>
        <w:t xml:space="preserve">Bangkok, Thailand  |  wutcharin.th@gmail.com  |  linkedin.com/in/wutcharin  |  github.com/wutcharinth</w:t>
      </w:r>
    </w:p>
    <w:p>
      <w:pPr>
        <w:pStyle w:val="Heading1"/>
        <w:pBdr>
          <w:bottom w:color="2e2e2e" w:sz="12" w:space="6"/>
        </w:pBdr>
        <w:spacing w:before="400" w:after="200"/>
        <w:rPr>
          <w:rFonts w:ascii="Calibri" w:cs="Calibri" w:eastAsia="Calibri" w:hAnsi="Calibri"/>
          <w:b/>
          <w:bCs/>
          <w:color w:val="2e2e2e"/>
          <w:sz w:val="28"/>
          <w:szCs w:val="28"/>
        </w:rPr>
      </w:pPr>
      <w:r>
        <w:t xml:space="preserve">EXECUTIVE SUMMARY</w:t>
      </w:r>
    </w:p>
    <w:p>
      <w:pPr>
        <w:spacing w:after="300"/>
        <w:jc w:val="both"/>
      </w:pPr>
      <w:r>
        <w:t xml:space="preserve">Data-driven executive who architects analytics functions as revenue-generating engines. With a 20-year career spanning high-stakes turnarounds in aviation to hyper-growth in travel tech, I specialize in building elite teams, deploying scalable data platforms, and translating complex insights into decisive C-suite strategies. Proven track record in bridging innovation-driven tech environments with traditional businesses embracing change.</w:t>
      </w:r>
    </w:p>
    <w:p>
      <w:pPr>
        <w:pStyle w:val="Heading1"/>
        <w:pBdr>
          <w:bottom w:color="2e2e2e" w:sz="12" w:space="6"/>
        </w:pBdr>
        <w:spacing w:before="400" w:after="200"/>
        <w:rPr>
          <w:rFonts w:ascii="Calibri" w:cs="Calibri" w:eastAsia="Calibri" w:hAnsi="Calibri"/>
          <w:b/>
          <w:bCs/>
          <w:color w:val="2e2e2e"/>
          <w:sz w:val="28"/>
          <w:szCs w:val="28"/>
        </w:rPr>
      </w:pPr>
      <w:r>
        <w:t xml:space="preserve">CORE COMPETENCIES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p>
            <w:pPr>
              <w:spacing w:line="300"/>
            </w:pPr>
            <w:r>
              <w:t xml:space="preserve">AI Strategy &amp; Implementation
Enterprise Automation
Data Governance</w:t>
            </w:r>
          </w:p>
        </w:tc>
        <w:tc>
          <w:p>
            <w:pPr>
              <w:spacing w:line="300"/>
            </w:pPr>
            <w:r>
              <w:t xml:space="preserve">Digital Transformation
Team Building &amp; Leadership
Stakeholder Management</w:t>
            </w:r>
          </w:p>
        </w:tc>
        <w:tc>
          <w:p>
            <w:pPr>
              <w:spacing w:line="300"/>
            </w:pPr>
            <w:r>
              <w:t xml:space="preserve">Cloud Architecture
Financial Modeling
Product Management</w:t>
            </w:r>
          </w:p>
        </w:tc>
      </w:tr>
    </w:tbl>
    <w:p>
      <w:pPr>
        <w:pStyle w:val="Heading1"/>
        <w:pBdr>
          <w:bottom w:color="2e2e2e" w:sz="12" w:space="6"/>
        </w:pBdr>
        <w:spacing w:before="400" w:after="200"/>
        <w:rPr>
          <w:rFonts w:ascii="Calibri" w:cs="Calibri" w:eastAsia="Calibri" w:hAnsi="Calibri"/>
          <w:b/>
          <w:bCs/>
          <w:color w:val="2e2e2e"/>
          <w:sz w:val="28"/>
          <w:szCs w:val="28"/>
        </w:rPr>
      </w:pPr>
      <w:r>
        <w:t xml:space="preserve">TECHNICAL ARSENAL</w:t>
      </w:r>
    </w:p>
    <w:p>
      <w:pPr>
        <w:spacing w:after="100"/>
        <w:ind w:left="400"/>
      </w:pPr>
      <w:r>
        <w:t xml:space="preserve">• AI/LLM: AI Agents, RAG, Claude Code, Cursor, Antigravity, OpenAI API</w:t>
      </w:r>
    </w:p>
    <w:p>
      <w:pPr>
        <w:spacing w:after="100"/>
        <w:ind w:left="400"/>
      </w:pPr>
      <w:r>
        <w:t xml:space="preserve">• Tools: VS Code, n8n, Zapier, Make, Workflow Automation</w:t>
      </w:r>
    </w:p>
    <w:p>
      <w:pPr>
        <w:spacing w:after="100"/>
        <w:ind w:left="400"/>
      </w:pPr>
      <w:r>
        <w:t xml:space="preserve">• Data: Python, SQL, Tableau, PowerBI, Looker</w:t>
      </w:r>
    </w:p>
    <w:p>
      <w:pPr>
        <w:spacing w:after="100"/>
        <w:ind w:left="400"/>
      </w:pPr>
      <w:r>
        <w:t xml:space="preserve">• Dev: React, TypeScript, Node.js, Google Cloud, Firebase</w:t>
      </w:r>
    </w:p>
    <w:p>
      <w:pPr>
        <w:pStyle w:val="Heading1"/>
        <w:pBdr>
          <w:bottom w:color="2e2e2e" w:sz="12" w:space="6"/>
        </w:pBdr>
        <w:spacing w:before="400" w:after="200"/>
        <w:rPr>
          <w:rFonts w:ascii="Calibri" w:cs="Calibri" w:eastAsia="Calibri" w:hAnsi="Calibri"/>
          <w:b/>
          <w:bCs/>
          <w:color w:val="2e2e2e"/>
          <w:sz w:val="28"/>
          <w:szCs w:val="28"/>
        </w:rPr>
      </w:pPr>
      <w:r>
        <w:t xml:space="preserve">PROFESSIONAL EXPERIENCE</w:t>
      </w:r>
    </w:p>
    <w:p>
      <w:pPr>
        <w:tabs>
          <w:tab w:val="right" w:pos="9500"/>
        </w:tabs>
        <w:spacing w:before="300" w:after="50"/>
      </w:pPr>
      <w:r>
        <w:rPr>
          <w:b/>
          <w:bCs/>
          <w:sz w:val="26"/>
          <w:szCs w:val="26"/>
        </w:rPr>
        <w:t xml:space="preserve">Agoda</w:t>
      </w:r>
      <w:r>
        <w:rPr>
          <w:b/>
          <w:bCs/>
          <w:color w:val="555555"/>
          <w:sz w:val="24"/>
          <w:szCs w:val="24"/>
        </w:rPr>
        <w:t xml:space="preserve">	Apr 2024 - Present</w:t>
      </w:r>
    </w:p>
    <w:p>
      <w:pPr>
        <w:spacing w:after="150"/>
      </w:pPr>
      <w:r>
        <w:t xml:space="preserve">Associate Director - FinTech Data and Automation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Orchestrating the data and automation strategy for the FinTech vertical, leading a 7-person team to enhance risk management, compliance, and operational efficiency.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Leading Finance AI Department Co-creation Roadmap and ideation, driving strategic initiatives that leverage AI to transform financial operations and decision-making processes.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Delivering comprehensive analytics for Treasury, Tax, Credit Risk, and Collections to drive efficiency gains and resolve upstream data issues.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Championing adoption of advanced analytics and self-service BI tools to embed data-driven decision-making across the finance organization.</w:t>
      </w:r>
    </w:p>
    <w:p>
      <w:pPr>
        <w:tabs>
          <w:tab w:val="right" w:pos="9500"/>
        </w:tabs>
        <w:spacing w:before="300" w:after="50"/>
      </w:pPr>
      <w:r>
        <w:rPr>
          <w:b/>
          <w:bCs/>
          <w:sz w:val="26"/>
          <w:szCs w:val="26"/>
        </w:rPr>
        <w:t xml:space="preserve">Agoda</w:t>
      </w:r>
      <w:r>
        <w:rPr>
          <w:b/>
          <w:bCs/>
          <w:color w:val="555555"/>
          <w:sz w:val="24"/>
          <w:szCs w:val="24"/>
        </w:rPr>
        <w:t xml:space="preserve">	Nov 2017 - Apr 2022</w:t>
      </w:r>
    </w:p>
    <w:p>
      <w:pPr>
        <w:spacing w:after="150"/>
      </w:pPr>
      <w:r>
        <w:t xml:space="preserve">Associate Director - Supply Analytics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Capitalized on data to drive supply strategy, developing predictive ROI and churn models that significantly grew high-value partnerships and informed C-suite decisions.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Architected the centralized Supply department database, empowering the organization with enhanced data accessibility and analysis capabilities.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Designed and deployed over 100 Tableau dashboards, democratizing data for 600+ weekly users and fostering a culture of self-service analytics.</w:t>
      </w:r>
    </w:p>
    <w:p>
      <w:pPr>
        <w:tabs>
          <w:tab w:val="right" w:pos="9500"/>
        </w:tabs>
        <w:spacing w:before="300" w:after="50"/>
      </w:pPr>
      <w:r>
        <w:rPr>
          <w:b/>
          <w:bCs/>
          <w:sz w:val="26"/>
          <w:szCs w:val="26"/>
        </w:rPr>
        <w:t xml:space="preserve">Really Cool Airlines</w:t>
      </w:r>
      <w:r>
        <w:rPr>
          <w:b/>
          <w:bCs/>
          <w:color w:val="555555"/>
          <w:sz w:val="24"/>
          <w:szCs w:val="24"/>
        </w:rPr>
        <w:t xml:space="preserve">	Apr 2023 - Feb 2024</w:t>
      </w:r>
    </w:p>
    <w:p>
      <w:pPr>
        <w:spacing w:after="150"/>
      </w:pPr>
      <w:r>
        <w:t xml:space="preserve">Head of Commercial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Pioneered the airline's commercial division from concept, establishing 6 teams (11 headcount) and securing 200M THB in seed capital by articulating a compelling market entry strategy.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Directed all commercial functions: Route Planning, Revenue Management, Sales &amp; Distribution, Marketing, and Product Development.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Led provider selection and negotiation for all key systems, balancing lean startup budgets with critical capabilities.</w:t>
      </w:r>
    </w:p>
    <w:p>
      <w:pPr>
        <w:tabs>
          <w:tab w:val="right" w:pos="9500"/>
        </w:tabs>
        <w:spacing w:before="300" w:after="50"/>
      </w:pPr>
      <w:r>
        <w:rPr>
          <w:b/>
          <w:bCs/>
          <w:sz w:val="26"/>
          <w:szCs w:val="26"/>
        </w:rPr>
        <w:t xml:space="preserve">Thairath Group</w:t>
      </w:r>
      <w:r>
        <w:rPr>
          <w:b/>
          <w:bCs/>
          <w:color w:val="555555"/>
          <w:sz w:val="24"/>
          <w:szCs w:val="24"/>
        </w:rPr>
        <w:t xml:space="preserve">	Apr 2022 - Apr 2023</w:t>
      </w:r>
    </w:p>
    <w:p>
      <w:pPr>
        <w:spacing w:after="150"/>
      </w:pPr>
      <w:r>
        <w:t xml:space="preserve">Head of Strategic Foresight and Planning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Engineered a group-wide data transformation, implementing KPI frameworks and analytics systems that unified strategic priorities across diverse business units.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Advised on resource allocation, inter-departmental communication, and technology decisions to drive group-level goals.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Launched a new business unit (Taro Media) by authoring the complete business plan to mitigate content rights risks and capture international revenue streams.</w:t>
      </w:r>
    </w:p>
    <w:p>
      <w:pPr>
        <w:tabs>
          <w:tab w:val="right" w:pos="9500"/>
        </w:tabs>
        <w:spacing w:before="300" w:after="50"/>
      </w:pPr>
      <w:r>
        <w:rPr>
          <w:b/>
          <w:bCs/>
          <w:sz w:val="26"/>
          <w:szCs w:val="26"/>
        </w:rPr>
        <w:t xml:space="preserve">Nok Air</w:t>
      </w:r>
      <w:r>
        <w:rPr>
          <w:b/>
          <w:bCs/>
          <w:color w:val="555555"/>
          <w:sz w:val="24"/>
          <w:szCs w:val="24"/>
        </w:rPr>
        <w:t xml:space="preserve">	Oct 2016 - Nov 2017</w:t>
      </w:r>
    </w:p>
    <w:p>
      <w:pPr>
        <w:spacing w:after="150"/>
      </w:pPr>
      <w:r>
        <w:t xml:space="preserve">Planning Director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Co-architected a successful corporate turnaround by deploying analytical models for network optimization, directly leading to a 15% increase in aircraft utilization and a +3 p.p. YoY gain in cabin factor.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Authored and presented the comprehensive turnaround strategy to the Board of Directors, lessors, banks, and potential investors, securing critical new investment.</w:t>
      </w:r>
    </w:p>
    <w:p>
      <w:pPr>
        <w:tabs>
          <w:tab w:val="right" w:pos="9500"/>
        </w:tabs>
        <w:spacing w:before="300" w:after="50"/>
      </w:pPr>
      <w:r>
        <w:rPr>
          <w:b/>
          <w:bCs/>
          <w:sz w:val="26"/>
          <w:szCs w:val="26"/>
        </w:rPr>
        <w:t xml:space="preserve">Thai Smile Airways</w:t>
      </w:r>
      <w:r>
        <w:rPr>
          <w:b/>
          <w:bCs/>
          <w:color w:val="555555"/>
          <w:sz w:val="24"/>
          <w:szCs w:val="24"/>
        </w:rPr>
        <w:t xml:space="preserve">	Nov 2015 - Oct 2016</w:t>
      </w:r>
    </w:p>
    <w:p>
      <w:pPr>
        <w:spacing w:after="150"/>
      </w:pPr>
      <w:r>
        <w:t xml:space="preserve">Corporate Strategy &amp; Planning Manager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Increased route profitability and expanded market share by directing data-driven network planning and capacity decisions.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Led successful negotiations with aviation authorities and airports to secure operating permits and optimal slots for new destinations.</w:t>
      </w:r>
    </w:p>
    <w:p>
      <w:pPr>
        <w:pStyle w:val="Heading1"/>
        <w:pBdr>
          <w:bottom w:color="2e2e2e" w:sz="12" w:space="6"/>
        </w:pBdr>
        <w:spacing w:before="400" w:after="200"/>
        <w:rPr>
          <w:rFonts w:ascii="Calibri" w:cs="Calibri" w:eastAsia="Calibri" w:hAnsi="Calibri"/>
          <w:b/>
          <w:bCs/>
          <w:color w:val="2e2e2e"/>
          <w:sz w:val="28"/>
          <w:szCs w:val="28"/>
        </w:rPr>
      </w:pPr>
      <w:r>
        <w:t xml:space="preserve">KEY PROJECTS</w:t>
      </w:r>
    </w:p>
    <w:p>
      <w:pPr>
        <w:spacing w:before="200" w:after="50"/>
      </w:pPr>
      <w:r>
        <w:rPr>
          <w:b/>
          <w:bCs/>
        </w:rPr>
        <w:t xml:space="preserve">Really Cool Airlines Launch</w:t>
      </w:r>
      <w:r>
        <w:rPr>
          <w:i/>
          <w:iCs/>
        </w:rPr>
        <w:t xml:space="preserve"> | Strategic Lead</w:t>
      </w:r>
    </w:p>
    <w:p>
      <w:pPr>
        <w:spacing w:after="150"/>
        <w:ind w:left="400"/>
      </w:pPr>
      <w:r>
        <w:t xml:space="preserve">Led commercial division setup, secured 200M THB seed capital, and obtained CAAT business license. Speaker at Routes World 2023.</w:t>
      </w:r>
    </w:p>
    <w:p>
      <w:pPr>
        <w:spacing w:before="200" w:after="50"/>
      </w:pPr>
      <w:r>
        <w:rPr>
          <w:b/>
          <w:bCs/>
        </w:rPr>
        <w:t xml:space="preserve">SplitBill AI</w:t>
      </w:r>
      <w:r>
        <w:rPr>
          <w:i/>
          <w:iCs/>
        </w:rPr>
        <w:t xml:space="preserve"> | Full Stack Developer</w:t>
      </w:r>
    </w:p>
    <w:p>
      <w:pPr>
        <w:spacing w:after="150"/>
        <w:ind w:left="400"/>
      </w:pPr>
      <w:r>
        <w:t xml:space="preserve">Built end-to-end in 7 days. Features instant receipt scanning with Gemini AI, automatic item parsing, and smart assignment. (React, Firebase, Gemini AI)</w:t>
      </w:r>
    </w:p>
    <w:p>
      <w:pPr>
        <w:spacing w:before="200" w:after="50"/>
      </w:pPr>
      <w:r>
        <w:rPr>
          <w:b/>
          <w:bCs/>
        </w:rPr>
        <w:t xml:space="preserve">LocalGuide Platform</w:t>
      </w:r>
      <w:r>
        <w:rPr>
          <w:i/>
          <w:iCs/>
        </w:rPr>
        <w:t xml:space="preserve"> | Full Stack Developer</w:t>
      </w:r>
    </w:p>
    <w:p>
      <w:pPr>
        <w:spacing w:after="150"/>
        <w:ind w:left="400"/>
      </w:pPr>
      <w:r>
        <w:t xml:space="preserve">Booking platform prototype connecting travelers with local guides. Complete auth system, profile management, and payments. (React, Node.js, PostgreSQL)</w:t>
      </w:r>
    </w:p>
    <w:p>
      <w:pPr>
        <w:pStyle w:val="Heading1"/>
        <w:pBdr>
          <w:bottom w:color="2e2e2e" w:sz="12" w:space="6"/>
        </w:pBdr>
        <w:spacing w:before="400" w:after="200"/>
        <w:rPr>
          <w:rFonts w:ascii="Calibri" w:cs="Calibri" w:eastAsia="Calibri" w:hAnsi="Calibri"/>
          <w:b/>
          <w:bCs/>
          <w:color w:val="2e2e2e"/>
          <w:sz w:val="28"/>
          <w:szCs w:val="28"/>
        </w:rPr>
      </w:pPr>
      <w:r>
        <w:t xml:space="preserve">EDUCATION</w:t>
      </w:r>
    </w:p>
    <w:p>
      <w:pPr>
        <w:tabs>
          <w:tab w:val="right" w:pos="9500"/>
        </w:tabs>
        <w:spacing w:before="100" w:after="50"/>
      </w:pPr>
      <w:r>
        <w:rPr>
          <w:b/>
          <w:bCs/>
        </w:rPr>
        <w:t xml:space="preserve">Chulalongkorn University</w:t>
      </w:r>
      <w:r>
        <w:rPr>
          <w:b/>
          <w:bCs/>
        </w:rPr>
        <w:t xml:space="preserve">	2012 - 2014</w:t>
      </w:r>
    </w:p>
    <w:p>
      <w:pPr>
        <w:spacing w:after="200"/>
      </w:pPr>
      <w:r>
        <w:t xml:space="preserve">Master of Science in Finance</w:t>
      </w:r>
    </w:p>
    <w:p>
      <w:pPr>
        <w:tabs>
          <w:tab w:val="right" w:pos="9500"/>
        </w:tabs>
        <w:spacing w:before="100" w:after="50"/>
      </w:pPr>
      <w:r>
        <w:rPr>
          <w:b/>
          <w:bCs/>
        </w:rPr>
        <w:t xml:space="preserve">Chiang Mai University</w:t>
      </w:r>
      <w:r>
        <w:rPr>
          <w:b/>
          <w:bCs/>
        </w:rPr>
        <w:t xml:space="preserve">	2004 - 2008</w:t>
      </w:r>
    </w:p>
    <w:p>
      <w:pPr>
        <w:spacing w:after="200"/>
      </w:pPr>
      <w:r>
        <w:t xml:space="preserve">Bachelor of Engineering (Computer Engineering)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2025-11-23T03:06:14.103Z</dcterms:created>
  <dcterms:modified xsi:type="dcterms:W3CDTF">2025-11-23T03:06:14.108Z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