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  <w:jc w:val="center"/>
        <w:rPr>
          <w:rFonts w:ascii="Calibri" w:cs="Calibri" w:eastAsia="Calibri" w:hAnsi="Calibri"/>
          <w:b/>
          <w:bCs/>
          <w:color w:val="1e293b"/>
          <w:sz w:val="48"/>
          <w:szCs w:val="48"/>
        </w:rPr>
      </w:pPr>
      <w:r>
        <w:t xml:space="preserve">WUTCHARIN THATAN</w:t>
      </w:r>
    </w:p>
    <w:p>
      <w:pPr>
        <w:spacing w:after="200"/>
        <w:jc w:val="center"/>
        <w:rPr>
          <w:rFonts w:ascii="Calibri" w:cs="Calibri" w:eastAsia="Calibri" w:hAnsi="Calibri"/>
          <w:b/>
          <w:bCs/>
          <w:color w:val="06b6d4"/>
          <w:sz w:val="20"/>
          <w:szCs w:val="20"/>
        </w:rPr>
      </w:pPr>
      <w:r>
        <w:t xml:space="preserve">EXECUTIVE LEADER | AI, AUTOMATION &amp; ANALYTICS</w:t>
      </w:r>
    </w:p>
    <w:p>
      <w:pPr>
        <w:pBdr>
          <w:bottom w:color="e2e8f0" w:sz="6" w:space="20"/>
        </w:pBdr>
        <w:spacing w:after="400"/>
        <w:jc w:val="center"/>
        <w:rPr>
          <w:rFonts w:ascii="Calibri" w:cs="Calibri" w:eastAsia="Calibri" w:hAnsi="Calibri"/>
          <w:color w:val="64748b"/>
          <w:sz w:val="20"/>
          <w:szCs w:val="20"/>
        </w:rPr>
      </w:pPr>
      <w:r>
        <w:t xml:space="preserve">(+66) 061-565-5969  |  wutcharin.th@gmail.com  |  linkedin.com/in/Wutcharin</w:t>
      </w:r>
    </w:p>
    <w:p>
      <w:pPr>
        <w:pStyle w:val="Heading1"/>
        <w:pBdr>
          <w:bottom w:color="06b6d4" w:sz="12" w:space="6"/>
        </w:pBdr>
        <w:spacing w:before="400" w:after="200"/>
        <w:rPr>
          <w:rFonts w:ascii="Calibri" w:cs="Calibri" w:eastAsia="Calibri" w:hAnsi="Calibri"/>
          <w:b/>
          <w:bCs/>
          <w:color w:val="2e2e2e"/>
          <w:sz w:val="24"/>
          <w:szCs w:val="24"/>
        </w:rPr>
      </w:pPr>
      <w:r>
        <w:t xml:space="preserve">EXECUTIVE PROFILE</w:t>
      </w:r>
    </w:p>
    <w:p>
      <w:pPr>
        <w:spacing w:after="300"/>
        <w:jc w:val="both"/>
      </w:pPr>
      <w:r>
        <w:t xml:space="preserve">An executive leader with nearly 20 years of experience, including a decade in people management, who builds and scales high-performing AI, Automation, and Analytics functions to operate as revenue-generating engines. With a career spanning corporate turnarounds and hyper-growth tech, I specialize in translating complex data into decisive C-suite strategies, securing capital, and embedding a data-first culture to drive measurable business outcomes.</w:t>
      </w:r>
    </w:p>
    <w:p>
      <w:pPr>
        <w:pStyle w:val="Heading1"/>
        <w:pBdr>
          <w:bottom w:color="06b6d4" w:sz="12" w:space="6"/>
        </w:pBdr>
        <w:spacing w:before="400" w:after="200"/>
        <w:rPr>
          <w:rFonts w:ascii="Calibri" w:cs="Calibri" w:eastAsia="Calibri" w:hAnsi="Calibri"/>
          <w:b/>
          <w:bCs/>
          <w:color w:val="2e2e2e"/>
          <w:sz w:val="24"/>
          <w:szCs w:val="24"/>
        </w:rPr>
      </w:pPr>
      <w:r>
        <w:t xml:space="preserve">CAREER HIGHLIGHTS</w:t>
      </w:r>
    </w:p>
    <w:p>
      <w:pPr>
        <w:spacing w:after="100"/>
        <w:ind w:left="400"/>
        <w:rPr>
          <w:b/>
          <w:bCs/>
          <w:color w:val="334155"/>
        </w:rPr>
      </w:pPr>
      <w:r>
        <w:t xml:space="preserve">• Saved 12,000+ hours annually via targeted AI &amp; automation initiatives in FinTech.</w:t>
      </w:r>
    </w:p>
    <w:p>
      <w:pPr>
        <w:spacing w:after="100"/>
        <w:ind w:left="400"/>
        <w:rPr>
          <w:b/>
          <w:bCs/>
          <w:color w:val="334155"/>
        </w:rPr>
      </w:pPr>
      <w:r>
        <w:t xml:space="preserve">• Secured 200M THB in seed funding by developing the business plan and investor pitch.</w:t>
      </w:r>
    </w:p>
    <w:p>
      <w:pPr>
        <w:spacing w:after="100"/>
        <w:ind w:left="400"/>
        <w:rPr>
          <w:b/>
          <w:bCs/>
          <w:color w:val="334155"/>
        </w:rPr>
      </w:pPr>
      <w:r>
        <w:t xml:space="preserve">• Increased Aircraft Utilization by 15% &amp; boosted cabin factor by +3 p.p. in a corporate turnaround.</w:t>
      </w:r>
    </w:p>
    <w:p>
      <w:pPr>
        <w:spacing w:after="100"/>
        <w:ind w:left="400"/>
        <w:rPr>
          <w:b/>
          <w:bCs/>
          <w:color w:val="334155"/>
        </w:rPr>
      </w:pPr>
      <w:r>
        <w:t xml:space="preserve">• Empowered 600+ Users by deploying over 100 Tableau dashboards.</w:t>
      </w:r>
    </w:p>
    <w:p>
      <w:pPr>
        <w:pStyle w:val="Heading1"/>
        <w:pBdr>
          <w:bottom w:color="06b6d4" w:sz="12" w:space="6"/>
        </w:pBdr>
        <w:spacing w:before="400" w:after="200"/>
        <w:rPr>
          <w:rFonts w:ascii="Calibri" w:cs="Calibri" w:eastAsia="Calibri" w:hAnsi="Calibri"/>
          <w:b/>
          <w:bCs/>
          <w:color w:val="2e2e2e"/>
          <w:sz w:val="24"/>
          <w:szCs w:val="24"/>
        </w:rPr>
      </w:pPr>
      <w:r>
        <w:t xml:space="preserve">CORE COMPETENCIES &amp; TECHNICAL SKILLS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00"/>
              <w:rPr>
                <w:b/>
                <w:bCs/>
                <w:color w:val="06b6d4"/>
              </w:rPr>
            </w:pPr>
            <w:r>
              <w:t xml:space="preserve">COMPETENCIES</w:t>
            </w:r>
          </w:p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Strategic Leadership &amp; Vision: </w:t>
            </w:r>
            <w:r>
              <w:rPr>
                <w:sz w:val="20"/>
                <w:szCs w:val="20"/>
              </w:rPr>
              <w:t xml:space="preserve">Corporate data strategy, AI roadmaps &amp; vision, and C-suite advisory on AI integration.</w:t>
            </w:r>
          </w:p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Team Leadership &amp; Growth: </w:t>
            </w:r>
            <w:r>
              <w:rPr>
                <w:sz w:val="20"/>
                <w:szCs w:val="20"/>
              </w:rPr>
              <w:t xml:space="preserve">Building, mentoring, and scaling high-performing teams of data and AI specialists.</w:t>
            </w:r>
          </w:p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Business Acumen &amp; Impact: </w:t>
            </w:r>
            <w:r>
              <w:rPr>
                <w:sz w:val="20"/>
                <w:szCs w:val="20"/>
              </w:rPr>
              <w:t xml:space="preserve">Go-to-market strategy, venture capital acquisition, and complex corporate turnarounds.</w:t>
            </w:r>
          </w:p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Vendor &amp; Partner Management: </w:t>
            </w:r>
            <w:r>
              <w:rPr>
                <w:sz w:val="20"/>
                <w:szCs w:val="20"/>
              </w:rPr>
              <w:t xml:space="preserve">Tech vendor negotiation and strategic partner management in aviation and tech industries.</w:t>
            </w:r>
          </w:p>
        </w:tc>
        <w:tc>
          <w:tcPr>
            <w:tcW w:type="pct" w:w="50%"/>
          </w:tcPr>
          <w:p>
            <w:pPr>
              <w:spacing w:after="100"/>
              <w:rPr>
                <w:b/>
                <w:bCs/>
                <w:color w:val="06b6d4"/>
              </w:rPr>
            </w:pPr>
            <w:r>
              <w:t xml:space="preserve">TECHNICAL SKILLS</w:t>
            </w:r>
          </w:p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Analytics &amp; Machine Learning: </w:t>
            </w:r>
            <w:r>
              <w:rPr>
                <w:sz w:val="20"/>
                <w:szCs w:val="20"/>
              </w:rPr>
              <w:t xml:space="preserve">SQL, Python (Pandas, Scikit-learn) for predictive modeling (ROI, churn, LTV) &amp; forecasting.</w:t>
            </w:r>
          </w:p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AI, Automation &amp; Prototyping: </w:t>
            </w:r>
            <w:r>
              <w:rPr>
                <w:sz w:val="20"/>
                <w:szCs w:val="20"/>
              </w:rPr>
              <w:t xml:space="preserve">RPA (Power Automate, n8n) &amp; GenAI for process automation and rapid web app prototyping.</w:t>
            </w:r>
          </w:p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Visualization &amp; Communication: </w:t>
            </w:r>
            <w:r>
              <w:rPr>
                <w:sz w:val="20"/>
                <w:szCs w:val="20"/>
              </w:rPr>
              <w:t xml:space="preserve">BI Platforms (Tableau, Metabase, SuperSet) for data storytelling &amp; compelling visualization.</w:t>
            </w:r>
          </w:p>
        </w:tc>
      </w:tr>
    </w:tbl>
    <w:p>
      <w:pPr>
        <w:pStyle w:val="Heading1"/>
        <w:pBdr>
          <w:bottom w:color="06b6d4" w:sz="12" w:space="6"/>
        </w:pBdr>
        <w:spacing w:before="400" w:after="200"/>
        <w:rPr>
          <w:rFonts w:ascii="Calibri" w:cs="Calibri" w:eastAsia="Calibri" w:hAnsi="Calibri"/>
          <w:b/>
          <w:bCs/>
          <w:color w:val="2e2e2e"/>
          <w:sz w:val="24"/>
          <w:szCs w:val="24"/>
        </w:rPr>
      </w:pPr>
      <w:r>
        <w:t xml:space="preserve">PROFESSIONAL EXPERIENCE</w:t>
      </w:r>
    </w:p>
    <w:p>
      <w:pPr>
        <w:tabs>
          <w:tab w:val="right" w:pos="10500"/>
        </w:tabs>
        <w:spacing w:before="300" w:after="50"/>
      </w:pPr>
      <w:r>
        <w:rPr>
          <w:b/>
          <w:bCs/>
          <w:sz w:val="24"/>
          <w:szCs w:val="24"/>
        </w:rPr>
        <w:t xml:space="preserve">Agoda</w:t>
      </w:r>
      <w:r>
        <w:rPr>
          <w:i/>
          <w:iCs/>
          <w:color w:val="64748b"/>
          <w:sz w:val="22"/>
          <w:szCs w:val="22"/>
        </w:rPr>
        <w:t xml:space="preserve"> | Global Travel Tech</w:t>
      </w:r>
      <w:r>
        <w:rPr>
          <w:b/>
          <w:bCs/>
          <w:color w:val="0f172a"/>
          <w:sz w:val="22"/>
          <w:szCs w:val="22"/>
        </w:rPr>
        <w:t xml:space="preserve">	Apr 2024 - Present</w:t>
      </w:r>
    </w:p>
    <w:p>
      <w:pPr>
        <w:spacing w:after="100"/>
      </w:pPr>
      <w:r>
        <w:t xml:space="preserve">Associate Director - FinTech Data and Automation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t xml:space="preserve">Direct a cross-functional division of 10, encompassing Finance Analytics and RPA/AI teams, to identify and execute on high-impact process automation opportunities.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t xml:space="preserve">Crafting the departmental AI vision and roadmap; co-creating a Finance hackathon to foster innovation and identify automation opportunities from the ground up.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t xml:space="preserve">Achieved over 12,000 hours in annualized time savings by deploying targeted automation solutions and machine learning models for collection risk and cashback liability.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t xml:space="preserve">Orchestrated deep-dive variance analysis between financial statements and operational data, providing critical insights to leadership on revenue and cost drivers.</w:t>
      </w:r>
    </w:p>
    <w:p>
      <w:pPr>
        <w:tabs>
          <w:tab w:val="right" w:pos="10500"/>
        </w:tabs>
        <w:spacing w:before="300" w:after="50"/>
      </w:pPr>
      <w:r>
        <w:rPr>
          <w:b/>
          <w:bCs/>
          <w:sz w:val="24"/>
          <w:szCs w:val="24"/>
        </w:rPr>
        <w:t xml:space="preserve">Really Cool Airlines</w:t>
      </w:r>
      <w:r>
        <w:rPr>
          <w:i/>
          <w:iCs/>
          <w:color w:val="64748b"/>
          <w:sz w:val="22"/>
          <w:szCs w:val="22"/>
        </w:rPr>
        <w:t xml:space="preserve"> | Airline Startup</w:t>
      </w:r>
      <w:r>
        <w:rPr>
          <w:b/>
          <w:bCs/>
          <w:color w:val="0f172a"/>
          <w:sz w:val="22"/>
          <w:szCs w:val="22"/>
        </w:rPr>
        <w:t xml:space="preserve">	Apr 2023 - Feb 2024</w:t>
      </w:r>
    </w:p>
    <w:p>
      <w:pPr>
        <w:spacing w:after="100"/>
      </w:pPr>
      <w:r>
        <w:t xml:space="preserve">Head of Commercial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t xml:space="preserve">Architected and scaled the airline's entire commercial division from inception, building and mentoring a team of 11 across 6 functions including Network Planning and Revenue Management.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t xml:space="preserve">Developed the definitive business plan and investor pitch, leveraging data-driven market analysis to craft a compelling go-to-market strategy that successfully secured 200M THB in seed funding.</w:t>
      </w:r>
    </w:p>
    <w:p>
      <w:pPr>
        <w:tabs>
          <w:tab w:val="right" w:pos="10500"/>
        </w:tabs>
        <w:spacing w:before="300" w:after="50"/>
      </w:pPr>
      <w:r>
        <w:rPr>
          <w:b/>
          <w:bCs/>
          <w:sz w:val="24"/>
          <w:szCs w:val="24"/>
        </w:rPr>
        <w:t xml:space="preserve">Thairath Group</w:t>
      </w:r>
      <w:r>
        <w:rPr>
          <w:i/>
          <w:iCs/>
          <w:color w:val="64748b"/>
          <w:sz w:val="22"/>
          <w:szCs w:val="22"/>
        </w:rPr>
        <w:t xml:space="preserve"> | Thai Media Conglomerate</w:t>
      </w:r>
      <w:r>
        <w:rPr>
          <w:b/>
          <w:bCs/>
          <w:color w:val="0f172a"/>
          <w:sz w:val="22"/>
          <w:szCs w:val="22"/>
        </w:rPr>
        <w:t xml:space="preserve">	Apr 2022 - Mar 2023</w:t>
      </w:r>
    </w:p>
    <w:p>
      <w:pPr>
        <w:spacing w:after="100"/>
      </w:pPr>
      <w:r>
        <w:t xml:space="preserve">Head of Strategic Foresight &amp; Planning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t xml:space="preserve">Led a group-wide data transformation, establishing standardized KPI frameworks and deploying analytics systems to create a unified view of performance across business units.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t xml:space="preserve">Launched a new media business unit by developing the complete business plan to mitigate content rights risks and capture new international revenue streams.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t xml:space="preserve">Functioned as a key strategic advisor to senior leadership, providing data-driven recommendations on resource allocation, operational workflows, and technology investments.</w:t>
      </w:r>
    </w:p>
    <w:p>
      <w:pPr>
        <w:tabs>
          <w:tab w:val="right" w:pos="10500"/>
        </w:tabs>
        <w:spacing w:before="300" w:after="50"/>
      </w:pPr>
      <w:r>
        <w:rPr>
          <w:b/>
          <w:bCs/>
          <w:sz w:val="24"/>
          <w:szCs w:val="24"/>
        </w:rPr>
        <w:t xml:space="preserve">Agoda</w:t>
      </w:r>
      <w:r>
        <w:rPr>
          <w:i/>
          <w:iCs/>
          <w:color w:val="64748b"/>
          <w:sz w:val="22"/>
          <w:szCs w:val="22"/>
        </w:rPr>
        <w:t xml:space="preserve"> | Global Travel Tech</w:t>
      </w:r>
      <w:r>
        <w:rPr>
          <w:b/>
          <w:bCs/>
          <w:color w:val="0f172a"/>
          <w:sz w:val="22"/>
          <w:szCs w:val="22"/>
        </w:rPr>
        <w:t xml:space="preserve">	Nov 2017 - Apr 2022</w:t>
      </w:r>
    </w:p>
    <w:p>
      <w:pPr>
        <w:spacing w:after="100"/>
      </w:pPr>
      <w:r>
        <w:t xml:space="preserve">Associate Director - Supply Analytics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t xml:space="preserve">Directed analytics for the Partner Programs division, transforming raw data into actionable insights and strategic recommendations presented directly to C-level leadership.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t xml:space="preserve">Oversaw credit risk management and analytics for the Partner Prepaid Programs, mitigating financial exposure and optimizing partner payment solutions.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t xml:space="preserve">Developed and deployed multiple high-impact machine learning models, including partner ROI/churn prediction and a proprietary Supply Health Score.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t xml:space="preserve">Established comprehensive analytics frameworks for partner segmentation and evaluation, enabling more targeted and effective partner engagement strategies.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t xml:space="preserve">Designed and implemented a scalable, self-service BI ecosystem, launching over 100 Tableau dashboards that provided insights to more than 600 users.</w:t>
      </w:r>
    </w:p>
    <w:p>
      <w:pPr>
        <w:tabs>
          <w:tab w:val="right" w:pos="10500"/>
        </w:tabs>
        <w:spacing w:before="300" w:after="50"/>
      </w:pPr>
      <w:r>
        <w:rPr>
          <w:b/>
          <w:bCs/>
          <w:sz w:val="24"/>
          <w:szCs w:val="24"/>
        </w:rPr>
        <w:t xml:space="preserve">Nok Air</w:t>
      </w:r>
      <w:r>
        <w:rPr>
          <w:i/>
          <w:iCs/>
          <w:color w:val="64748b"/>
          <w:sz w:val="22"/>
          <w:szCs w:val="22"/>
        </w:rPr>
        <w:t xml:space="preserve"> | Low-Cost Airline</w:t>
      </w:r>
      <w:r>
        <w:rPr>
          <w:b/>
          <w:bCs/>
          <w:color w:val="0f172a"/>
          <w:sz w:val="22"/>
          <w:szCs w:val="22"/>
        </w:rPr>
        <w:t xml:space="preserve">	Oct 2016 - Nov 2017</w:t>
      </w:r>
    </w:p>
    <w:p>
      <w:pPr>
        <w:spacing w:after="100"/>
      </w:pPr>
      <w:r>
        <w:t xml:space="preserve">Planning Director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t xml:space="preserve">Played a pivotal role in a successful corporate turnaround by developing analytical models for network and fleet optimization, leading to a 15% increase in aircraft utilization.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t xml:space="preserve">Conducted in-depth competitor analysis to identify market opportunities and inform strategic fleet and network decisions.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t xml:space="preserve">Developed and presented the full turnaround strategy to the Board of Directors, creditors, and potential investors, resulting in the acquisition of crucial new capital.</w:t>
      </w:r>
    </w:p>
    <w:p>
      <w:pPr>
        <w:tabs>
          <w:tab w:val="right" w:pos="10500"/>
        </w:tabs>
        <w:spacing w:before="300" w:after="50"/>
      </w:pPr>
      <w:r>
        <w:rPr>
          <w:b/>
          <w:bCs/>
          <w:sz w:val="24"/>
          <w:szCs w:val="24"/>
        </w:rPr>
        <w:t xml:space="preserve">Thai Smile Airways</w:t>
      </w:r>
      <w:r>
        <w:rPr>
          <w:i/>
          <w:iCs/>
          <w:color w:val="64748b"/>
          <w:sz w:val="22"/>
          <w:szCs w:val="22"/>
        </w:rPr>
        <w:t xml:space="preserve"> | Regional Airline</w:t>
      </w:r>
      <w:r>
        <w:rPr>
          <w:b/>
          <w:bCs/>
          <w:color w:val="0f172a"/>
          <w:sz w:val="22"/>
          <w:szCs w:val="22"/>
        </w:rPr>
        <w:t xml:space="preserve">	Nov 2015 - Sep 2016</w:t>
      </w:r>
    </w:p>
    <w:p>
      <w:pPr>
        <w:spacing w:after="100"/>
      </w:pPr>
      <w:r>
        <w:t xml:space="preserve">Corporate Strategy &amp; Planning Manager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t xml:space="preserve">Led the network planning function, a data-driven strategy to analyze route profitability and market demand, which directly contributed to increased market share.</w:t>
      </w:r>
    </w:p>
    <w:p>
      <w:pPr>
        <w:pStyle w:val="ListParagraph"/>
        <w:numPr>
          <w:ilvl w:val="0"/>
          <w:numId w:val="1"/>
        </w:numPr>
        <w:spacing w:after="50"/>
        <w:jc w:val="both"/>
      </w:pPr>
      <w:r>
        <w:t xml:space="preserve">Managed and executed successful negotiations with key external partners, including aviation authorities and airport operators, to secure vital operating permits and strategic slots.</w:t>
      </w:r>
    </w:p>
    <w:p>
      <w:pPr>
        <w:pStyle w:val="Heading1"/>
        <w:pBdr>
          <w:bottom w:color="06b6d4" w:sz="12" w:space="6"/>
        </w:pBdr>
        <w:spacing w:before="400" w:after="200"/>
        <w:rPr>
          <w:rFonts w:ascii="Calibri" w:cs="Calibri" w:eastAsia="Calibri" w:hAnsi="Calibri"/>
          <w:b/>
          <w:bCs/>
          <w:color w:val="2e2e2e"/>
          <w:sz w:val="24"/>
          <w:szCs w:val="24"/>
        </w:rPr>
      </w:pPr>
      <w:r>
        <w:t xml:space="preserve">EDUCATION</w:t>
      </w:r>
    </w:p>
    <w:p>
      <w:pPr>
        <w:spacing w:before="100" w:after="50"/>
      </w:pPr>
      <w:r>
        <w:rPr>
          <w:b/>
          <w:bCs/>
        </w:rPr>
        <w:t xml:space="preserve">Master of Business Administration</w:t>
      </w:r>
    </w:p>
    <w:p>
      <w:pPr>
        <w:spacing w:after="200"/>
      </w:pPr>
      <w:r>
        <w:t xml:space="preserve">Stamford International University</w:t>
      </w:r>
    </w:p>
    <w:p>
      <w:pPr>
        <w:spacing w:before="100" w:after="50"/>
      </w:pPr>
      <w:r>
        <w:rPr>
          <w:b/>
          <w:bCs/>
        </w:rPr>
        <w:t xml:space="preserve">Bachelor of Engineering</w:t>
      </w:r>
    </w:p>
    <w:p>
      <w:pPr>
        <w:spacing w:after="200"/>
      </w:pPr>
      <w:r>
        <w:t xml:space="preserve">Chulalongkorn University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2025-11-23T03:09:57.438Z</dcterms:created>
  <dcterms:modified xsi:type="dcterms:W3CDTF">2025-11-23T03:09:57.448Z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