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56"/>
        </w:rPr>
        <w:t>Harness Engineering</w:t>
      </w:r>
    </w:p>
    <w:p>
      <w:pPr>
        <w:jc w:val="center"/>
      </w:pPr>
      <w:r>
        <w:rPr>
          <w:i/>
          <w:color w:val="646464"/>
          <w:sz w:val="32"/>
        </w:rPr>
        <w:t>Agent = Model + Harness</w:t>
      </w:r>
    </w:p>
    <w:p>
      <w:pPr>
        <w:jc w:val="center"/>
      </w:pPr>
      <w:r>
        <w:rPr>
          <w:color w:val="969696"/>
          <w:sz w:val="20"/>
        </w:rPr>
        <w:t>Original Thread by @sairahul1 on X/Twitter</w:t>
        <w:br/>
        <w:t>Document created: 2026-06-09</w:t>
      </w:r>
    </w:p>
    <w:p/>
    <w:p>
      <w:pPr>
        <w:pStyle w:val="Heading1"/>
      </w:pPr>
      <w:r>
        <w:t>1. Core Definition</w:t>
      </w:r>
    </w:p>
    <w:p>
      <w:r>
        <w:rPr>
          <w:b/>
        </w:rPr>
        <w:t>Agent = Model + Harness</w:t>
      </w:r>
    </w:p>
    <w:p>
      <w:r>
        <w:t>The Harness is everything outside the model — constraints, feedback loops, documentation, tool permissions. Without a harness, an LLM is just raw compute guessing through a codebase. With the right harness, it becomes a system that reliably delivers production-quality code.</w:t>
      </w:r>
    </w:p>
    <w:p>
      <w:pPr>
        <w:pStyle w:val="Heading2"/>
      </w:pPr>
      <w:r>
        <w:t>The Metaphor</w:t>
      </w:r>
    </w:p>
    <w:tbl>
      <w:tblPr>
        <w:tblStyle w:val="LightGrid-Accent1"/>
        <w:tblW w:type="auto" w:w="0"/>
        <w:tblLayout w:type="autofit"/>
        <w:tblLook w:firstColumn="1" w:firstRow="1" w:lastColumn="0" w:lastRow="0" w:noHBand="0" w:noVBand="1" w:val="04A0"/>
      </w:tblPr>
      <w:tblGrid>
        <w:gridCol w:w="4703"/>
        <w:gridCol w:w="4703"/>
      </w:tblGrid>
      <w:tr>
        <w:tc>
          <w:tcPr>
            <w:tcW w:type="dxa" w:w="4703"/>
          </w:tcPr>
          <w:p>
            <w:r>
              <w:rPr>
                <w:sz w:val="22"/>
              </w:rPr>
              <w:t>Model</w:t>
            </w:r>
          </w:p>
        </w:tc>
        <w:tc>
          <w:tcPr>
            <w:tcW w:type="dxa" w:w="4703"/>
          </w:tcPr>
          <w:p>
            <w:r>
              <w:rPr>
                <w:sz w:val="22"/>
              </w:rPr>
              <w:t>CPU — raw compute power</w:t>
            </w:r>
          </w:p>
        </w:tc>
      </w:tr>
      <w:tr>
        <w:tc>
          <w:tcPr>
            <w:tcW w:type="dxa" w:w="4703"/>
          </w:tcPr>
          <w:p>
            <w:r>
              <w:rPr>
                <w:sz w:val="22"/>
              </w:rPr>
              <w:t>Context Window</w:t>
            </w:r>
          </w:p>
        </w:tc>
        <w:tc>
          <w:tcPr>
            <w:tcW w:type="dxa" w:w="4703"/>
          </w:tcPr>
          <w:p>
            <w:r>
              <w:rPr>
                <w:sz w:val="22"/>
              </w:rPr>
              <w:t>RAM — limited, volatile working memory</w:t>
            </w:r>
          </w:p>
        </w:tc>
      </w:tr>
      <w:tr>
        <w:tc>
          <w:tcPr>
            <w:tcW w:type="dxa" w:w="4703"/>
          </w:tcPr>
          <w:p>
            <w:r>
              <w:rPr>
                <w:sz w:val="22"/>
              </w:rPr>
              <w:t>Harness</w:t>
            </w:r>
          </w:p>
        </w:tc>
        <w:tc>
          <w:tcPr>
            <w:tcW w:type="dxa" w:w="4703"/>
          </w:tcPr>
          <w:p>
            <w:r>
              <w:rPr>
                <w:sz w:val="22"/>
              </w:rPr>
              <w:t>OS — manages what the model sees and when</w:t>
            </w:r>
          </w:p>
        </w:tc>
      </w:tr>
      <w:tr>
        <w:tc>
          <w:tcPr>
            <w:tcW w:type="dxa" w:w="4703"/>
          </w:tcPr>
          <w:p>
            <w:r>
              <w:rPr>
                <w:sz w:val="22"/>
              </w:rPr>
              <w:t>Agent</w:t>
            </w:r>
          </w:p>
        </w:tc>
        <w:tc>
          <w:tcPr>
            <w:tcW w:type="dxa" w:w="4703"/>
          </w:tcPr>
          <w:p>
            <w:r>
              <w:rPr>
                <w:sz w:val="22"/>
              </w:rPr>
              <w:t>The application running on top</w:t>
            </w:r>
          </w:p>
        </w:tc>
      </w:tr>
      <w:tr>
        <w:tc>
          <w:tcPr>
            <w:tcW w:type="dxa" w:w="4703"/>
          </w:tcPr>
          <w:p>
            <w:r>
              <w:rPr>
                <w:sz w:val="22"/>
              </w:rPr>
              <w:t>Human</w:t>
            </w:r>
          </w:p>
        </w:tc>
        <w:tc>
          <w:tcPr>
            <w:tcW w:type="dxa" w:w="4703"/>
          </w:tcPr>
          <w:p>
            <w:r>
              <w:rPr>
                <w:sz w:val="22"/>
              </w:rPr>
              <w:t>The user — provides goals and feedback</w:t>
            </w:r>
          </w:p>
        </w:tc>
      </w:tr>
    </w:tbl>
    <w:p/>
    <w:p>
      <w:pPr>
        <w:pStyle w:val="Heading1"/>
      </w:pPr>
      <w:r>
        <w:t>2. Five Harness Artifacts</w:t>
      </w:r>
    </w:p>
    <w:p>
      <w:r>
        <w:rPr>
          <w:b/>
        </w:rPr>
        <w:t>1. AGENT.md / CLAUDE.md</w:t>
      </w:r>
    </w:p>
    <w:p>
      <w:r>
        <w:t>The agent's onboarding document. Provides project context, coding conventions, architectural decisions, and tool configurations. This is how the agent knows 'how we do things here.' Without it, the agent has no frame of reference.</w:t>
      </w:r>
    </w:p>
    <w:p>
      <w:r>
        <w:rPr>
          <w:b/>
        </w:rPr>
        <w:t>2. JSON Feature List</w:t>
      </w:r>
    </w:p>
    <w:p>
      <w:r>
        <w:t>A machine-readable progress tracker. Each entry contains: feature description, verification method, and Pass/Fail status. Functions as both a task queue and a test suite manifest — the agent reads it to know what to build, and writes to it to prove what was built.</w:t>
      </w:r>
    </w:p>
    <w:p>
      <w:r>
        <w:rPr>
          <w:b/>
        </w:rPr>
        <w:t>3. Session Initialization Routine</w:t>
      </w:r>
    </w:p>
    <w:p>
      <w:r>
        <w:t>A fixed 7-step startup sequence that runs at the beginning of every session: (1) confirm working directory → (2) read git log → (3) fetch task from feature list → (4) start dev server → (5) verify current state → (6) implement → (7) commit. Standardization eliminates the "cold start" problem for every new session.</w:t>
      </w:r>
    </w:p>
    <w:p>
      <w:r>
        <w:rPr>
          <w:b/>
        </w:rPr>
        <w:t>4. Sprint Contracts</w:t>
      </w:r>
    </w:p>
    <w:p>
      <w:r>
        <w:t>Before any code is written, two agents negotiate: the Generator agent proposes what to build and how to verify success; the Evaluator agent reviews the proposal for completeness and clarity. Only after consensus is reached does implementation begin. This is a design review where both participants are AI.</w:t>
      </w:r>
    </w:p>
    <w:p>
      <w:r>
        <w:rPr>
          <w:b/>
        </w:rPr>
        <w:t>5. Structured Task Template</w:t>
      </w:r>
    </w:p>
    <w:p>
      <w:r>
        <w:t>Before writing code, the harness analyzes the actual codebase and produces a grounded impact map containing: real file paths (eliminating hallucinations), real symbol names, existing patterns to follow, and concrete acceptance criteria. Most teams skip this step, causing agents to invent nonexistent APIs.</w:t>
      </w:r>
    </w:p>
    <w:p>
      <w:pPr>
        <w:pStyle w:val="Heading1"/>
      </w:pPr>
      <w:r>
        <w:t>3. Three Schools of Thought</w:t>
      </w:r>
    </w:p>
    <w:p>
      <w:r>
        <w:rPr>
          <w:b/>
        </w:rPr>
        <w:t xml:space="preserve">OpenAI School — </w:t>
      </w:r>
      <w:r>
        <w:rPr>
          <w:i/>
        </w:rPr>
        <w:t>Design the environment, then let the agent run.</w:t>
      </w:r>
    </w:p>
    <w:p>
      <w:r>
        <w:t>Philosophy: Strict dependency flows, embedded AGENT.md files, direct CI/CD integration. Evidence: Sora Android app — built by 4 engineers in 28 days, reached Play Store #1 with 99.9% crash-free rate. Key takeaway: when the environment is well-designed, agents can operate with minimal human intervention.</w:t>
      </w:r>
    </w:p>
    <w:p>
      <w:r>
        <w:rPr>
          <w:b/>
        </w:rPr>
        <w:t xml:space="preserve">Anthropic School — </w:t>
      </w:r>
      <w:r>
        <w:rPr>
          <w:i/>
        </w:rPr>
        <w:t>Separate "doing" from "reviewing."</w:t>
      </w:r>
    </w:p>
    <w:p>
      <w:r>
        <w:t>Philosophy: Three dedicated agents — Planner → Generator → Evaluator (browser automation testing). Key insight: self-evaluation does not work. Agents give themselves straight A's. A separate evaluator agent catches issues the generator misses. Same model, evaluated by another agent, produces +13% better outputs.</w:t>
      </w:r>
    </w:p>
    <w:p>
      <w:r>
        <w:rPr>
          <w:b/>
        </w:rPr>
        <w:t xml:space="preserve">ThoughtWorks School — </w:t>
      </w:r>
      <w:r>
        <w:rPr>
          <w:i/>
        </w:rPr>
        <w:t>2×2 Framework of Feedforward vs. Feedback.</w:t>
      </w:r>
    </w:p>
    <w:p>
      <w:r>
        <w:t>Philosophy: Two axes — Feedforward (instructions, templates, context) vs. Feedback (tests, CI, evaluator agents); and Computational (deterministic, ms-level checks: linters, type checkers, unit tests) vs. Inferential (LLM-powered, seconds-level: code review agents, design review). The most robust harnesses cover all four quadrants.</w:t>
      </w:r>
    </w:p>
    <w:p>
      <w:pPr>
        <w:pStyle w:val="Heading1"/>
      </w:pPr>
      <w:r>
        <w:t>4. Five Universal Principles</w:t>
      </w:r>
    </w:p>
    <w:p>
      <w:r>
        <w:rPr>
          <w:b/>
        </w:rPr>
        <w:t>1. Context beats Instruction</w:t>
      </w:r>
    </w:p>
    <w:p>
      <w:r>
        <w:t>Ground the agent in real file paths, real symbols, and the actual current state of the codebase. A well-contextualized agent with mediocre instructions outperforms a poorly-contextualized agent with perfect instructions.</w:t>
      </w:r>
    </w:p>
    <w:p>
      <w:r>
        <w:rPr>
          <w:b/>
        </w:rPr>
        <w:t>2. Planning and Execution must be separated</w:t>
      </w:r>
    </w:p>
    <w:p>
      <w:r>
        <w:t>Never let an agent plan and execute in the same turn. Planning requires big-picture thinking; execution requires detailed focus. Combining them produces unreliable results — the agent gets distracted by implementation details and loses sight of the goal.</w:t>
      </w:r>
    </w:p>
    <w:p>
      <w:r>
        <w:rPr>
          <w:b/>
        </w:rPr>
        <w:t>3. Feedback loops are non-negotiable</w:t>
      </w:r>
    </w:p>
    <w:p>
      <w:r>
        <w:t>Testing, CI, evaluator agents, or both — without a feedback loop, the agent is flying blind. Every output must be verified. The tighter the loop, the faster the agent learns and corrects.</w:t>
      </w:r>
    </w:p>
    <w:p>
      <w:r>
        <w:rPr>
          <w:b/>
        </w:rPr>
        <w:t>4. One thing at a time</w:t>
      </w:r>
    </w:p>
    <w:p>
      <w:r>
        <w:t>Enforced incrementalism: one feature → commit → verify → repeat. Multi-step tasks without intermediate commits are fragile. Each step creates a rollback point and a verifiable checkpoint.</w:t>
      </w:r>
    </w:p>
    <w:p>
      <w:r>
        <w:rPr>
          <w:b/>
        </w:rPr>
        <w:t>5. The codebase itself is the documentation</w:t>
      </w:r>
    </w:p>
    <w:p>
      <w:r>
        <w:t>The repo is the single source of truth. If a convention is not in the repo, the agent will not know it. Comments, READMEs, CLAUDE.md — these live in the codebase, not in external wikis. The codebase must be the agent's reality.</w:t>
      </w:r>
    </w:p>
    <w:p>
      <w:pPr>
        <w:pStyle w:val="Heading1"/>
      </w:pPr>
      <w:r>
        <w:t>5. Key Finding: +13% Performance Improvement</w:t>
      </w:r>
    </w:p>
    <w:p>
      <w:r>
        <w:t>The same model, with a better harness, produces 13% better outputs. The harness matters as much as the model quality. This implies that investing in harness design yields returns comparable to upgrading to a more expensive model — but at a fraction of the cost. Harness improvements compound: better context, separated planning, shorter feedback loops, and incremental delivery multiply each other's effects.</w:t>
      </w:r>
    </w:p>
    <w:p>
      <w:pPr>
        <w:pStyle w:val="Heading1"/>
      </w:pPr>
      <w:r>
        <w:t>6. Harness Decay</w:t>
      </w:r>
    </w:p>
    <w:p>
      <w:r>
        <w:t>As models improve, harness components become dead weight. What was essential in March becomes overhead by April. The recommendation, echoed by practitioners like Philipp Schmid, is to "Build to delete."</w:t>
      </w:r>
    </w:p>
    <w:p>
      <w:r>
        <w:t>Practice: Regularly test each harness component by disabling it, measure output quality, and remove anything that no longer contributes. A harness that is never pruned becomes a cage. Every 6 months, roughly half of your harness design should be thrown away and rebuilt to match the current model capabilities.</w:t>
      </w:r>
    </w:p>
    <w:p>
      <w:pPr>
        <w:pStyle w:val="Heading1"/>
      </w:pPr>
      <w:r>
        <w:t>7. Bottom Line</w:t>
      </w:r>
    </w:p>
    <w:p>
      <w:pPr>
        <w:jc w:val="center"/>
      </w:pPr>
      <w:r>
        <w:rPr>
          <w:i/>
          <w:sz w:val="26"/>
        </w:rPr>
        <w:t>"The engineers who win in 2026 aren't the ones writing the best code. They're the ones designing the best constraints — and willing to throw them away the moment they stop paying rent."</w:t>
      </w:r>
    </w:p>
    <w:p/>
    <w:p>
      <w:pPr>
        <w:jc w:val="center"/>
      </w:pPr>
      <w:r>
        <w:rPr>
          <w:color w:val="969696"/>
          <w:sz w:val="18"/>
        </w:rPr>
        <w:t>Source: @sairahul1 on X/Twitter — Original thread on Harness Engineering</w:t>
        <w:br/>
        <w:t>This document synthesizes and expands on the original thread content.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