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黑体" w:hAnsi="黑体" w:eastAsia="黑体"/>
          <w:b/>
          <w:sz w:val="44"/>
        </w:rPr>
        <w:t>车载平衡滚球运动控制系统（H题）</w:t>
      </w:r>
    </w:p>
    <w:p>
      <w:pPr>
        <w:spacing w:after="80"/>
        <w:jc w:val="center"/>
      </w:pPr>
      <w:r>
        <w:rPr>
          <w:rFonts w:ascii="宋体" w:hAnsi="宋体" w:eastAsia="宋体"/>
          <w:b w:val="0"/>
          <w:sz w:val="24"/>
        </w:rPr>
        <w:t>2026年8月1日</w:t>
      </w:r>
    </w:p>
    <w:p>
      <w:pPr>
        <w:spacing w:before="80" w:after="20" w:line="360" w:lineRule="exact"/>
        <w:jc w:val="left"/>
      </w:pPr>
      <w:r>
        <w:rPr>
          <w:rFonts w:ascii="黑体" w:hAnsi="黑体" w:eastAsia="黑体"/>
          <w:b/>
          <w:sz w:val="28"/>
        </w:rPr>
        <w:t>摘    要</w:t>
      </w:r>
    </w:p>
    <w:p>
      <w:pPr>
        <w:spacing w:before="0" w:after="0" w:line="44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针对循线小车运动时钢球在凹槽摆杆上的位置稳定问题，设计了一种以MSPM0G3507为核心的分层双闭环控制系统。小车采用六路红外传感器加权循迹、差速驱动与双轮速度校正；K230视觉模块输出钢球位置和速度，D36A驱动步进电机调节摆杆，MS42CG编码器构成执行器角度内环。软件以状态机统一管理启动、计时、停车、失效保护和模式互锁，并采用限幅、抗饱和、数据新鲜度检查及物理断能策略提高可靠性。报告给出了运动学与球杆模型、硬件接口、程序流程及分阶段测试方法，为满足单圈时间、停车精度和±1 cm球位误差指标提供实现依据。</w:t>
      </w:r>
    </w:p>
    <w:p>
      <w:pPr>
        <w:spacing w:before="0" w:after="0" w:line="440" w:lineRule="exact"/>
        <w:jc w:val="both"/>
      </w:pPr>
      <w:r>
        <w:rPr>
          <w:rFonts w:ascii="宋体" w:hAnsi="宋体" w:eastAsia="宋体"/>
          <w:b w:val="0"/>
          <w:sz w:val="24"/>
        </w:rPr>
        <w:t>关键词：循迹小车；球杆系统；视觉测量；双闭环控制；MSPM0G3507</w:t>
      </w:r>
    </w:p>
    <w:p>
      <w:pPr>
        <w:spacing w:before="80" w:after="20" w:line="360" w:lineRule="exact"/>
        <w:jc w:val="left"/>
      </w:pPr>
      <w:r>
        <w:rPr>
          <w:rFonts w:ascii="黑体" w:hAnsi="黑体" w:eastAsia="黑体"/>
          <w:b/>
          <w:sz w:val="28"/>
        </w:rPr>
        <w:t>一、方案论证</w:t>
      </w:r>
    </w:p>
    <w:p>
      <w:pPr>
        <w:spacing w:before="0" w:after="0" w:line="40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系统由小车循迹、钢球视觉测量、摆杆执行和状态显示四部分组成。选型以题面得分点、可观测性、闭环完整性和故障可控性为主，而不是单纯追求器件堆叠。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304"/>
            <w:vAlign w:val="center"/>
            <w:shd w:fill="D9E1F2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子系统</w:t>
            </w:r>
          </w:p>
        </w:tc>
        <w:tc>
          <w:tcPr>
            <w:tcW w:type="dxa" w:w="2381"/>
            <w:vAlign w:val="center"/>
            <w:shd w:fill="D9E1F2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备选方案</w:t>
            </w:r>
          </w:p>
        </w:tc>
        <w:tc>
          <w:tcPr>
            <w:tcW w:type="dxa" w:w="5669"/>
            <w:vAlign w:val="center"/>
            <w:shd w:fill="D9E1F2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比较与结论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循迹检测</w:t>
            </w:r>
          </w:p>
        </w:tc>
        <w:tc>
          <w:tcPr>
            <w:tcW w:type="dxa" w:w="2381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离散TCRT / 摄像头 / 六路红外阵列</w:t>
            </w:r>
          </w:p>
        </w:tc>
        <w:tc>
          <w:tcPr>
            <w:tcW w:type="dxa" w:w="5669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六路I²C阵列同时提供数字状态和16位模拟量，安装、标定和加权误差计算更直接，选用LineFollower_6CH。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钢球检测</w:t>
            </w:r>
          </w:p>
        </w:tc>
        <w:tc>
          <w:tcPr>
            <w:tcW w:type="dxa" w:w="2381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电阻式/超声 / IMU推算 / K230视觉</w:t>
            </w:r>
          </w:p>
        </w:tc>
        <w:tc>
          <w:tcPr>
            <w:tcW w:type="dxa" w:w="5669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题面要求实时画面；视觉可同时输出球心、速度和置信度，选K230作为钢球位置唯一测量。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摆杆执行</w:t>
            </w:r>
          </w:p>
        </w:tc>
        <w:tc>
          <w:tcPr>
            <w:tcW w:type="dxa" w:w="2381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RC舵机 / 直流电机 / 步进电机+编码器</w:t>
            </w:r>
          </w:p>
        </w:tc>
        <w:tc>
          <w:tcPr>
            <w:tcW w:type="dxa" w:w="5669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舵机回差与反馈分辨率受限；步进方案便于限速与角度规划，配MS42CG闭合实际轴角。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车轮驱动</w:t>
            </w:r>
          </w:p>
        </w:tc>
        <w:tc>
          <w:tcPr>
            <w:tcW w:type="dxa" w:w="2381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开环差速 / 单循迹环 / 循迹+速度校正</w:t>
            </w:r>
          </w:p>
        </w:tc>
        <w:tc>
          <w:tcPr>
            <w:tcW w:type="dxa" w:w="5669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在循迹PID外增加双轮速度PI，可抑制左右电机差异和电池电压变化造成的直线偏航。</w:t>
            </w:r>
          </w:p>
        </w:tc>
      </w:tr>
    </w:tbl>
    <w:p>
      <w:pPr>
        <w:spacing w:after="0"/>
      </w:pPr>
    </w:p>
    <w:p>
      <w:pPr>
        <w:spacing w:before="0" w:after="0" w:line="40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最终形成“两类任务相互隔离、两套闭环分层协同”的方案：REQ-002仅运行循迹与车轮控制；REQ-003仅运行球位外环和摆杆角度内环，另一执行器组始终锁止。</w:t>
      </w:r>
    </w:p>
    <w:p>
      <w:r>
        <w:br w:type="page"/>
      </w:r>
    </w:p>
    <w:p>
      <w:pPr>
        <w:spacing w:before="80" w:after="20" w:line="360" w:lineRule="exact"/>
        <w:jc w:val="left"/>
      </w:pPr>
      <w:r>
        <w:rPr>
          <w:rFonts w:ascii="黑体" w:hAnsi="黑体" w:eastAsia="黑体"/>
          <w:b/>
          <w:sz w:val="28"/>
        </w:rPr>
        <w:t>二、系统理论分析与计算</w:t>
      </w:r>
    </w:p>
    <w:p>
      <w:pPr>
        <w:spacing w:before="40" w:after="20" w:line="360" w:lineRule="exact"/>
        <w:jc w:val="left"/>
      </w:pPr>
      <w:r>
        <w:rPr>
          <w:rFonts w:ascii="黑体" w:hAnsi="黑体" w:eastAsia="黑体"/>
          <w:b/>
          <w:sz w:val="24"/>
        </w:rPr>
        <w:t>1、小车循迹控制理论</w:t>
      </w:r>
    </w:p>
    <w:p>
      <w:pPr>
        <w:spacing w:before="0" w:after="0" w:line="40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设左右轮线速度为vL、vR，轮距为B，则车体线速度和角速度分别为：</w:t>
      </w:r>
    </w:p>
    <w:p>
      <w:pPr>
        <w:spacing w:before="20" w:after="20" w:line="360" w:lineRule="exact"/>
        <w:jc w:val="center"/>
      </w:pPr>
      <w:r>
        <w:rPr>
          <w:rFonts w:ascii="Times New Roman" w:hAnsi="Times New Roman" w:eastAsia="宋体"/>
          <w:b w:val="0"/>
          <w:sz w:val="22"/>
        </w:rPr>
        <w:t>v=(vR+vL)/2，  ω=(vR−vL)/B</w:t>
      </w:r>
    </w:p>
    <w:p>
      <w:pPr>
        <w:spacing w:before="0" w:after="0" w:line="40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六路传感器位置权值取pi∈{−1.0,−0.6,−0.2,0.2,0.6,1.0}。对白底/黑线标定值归一化得到si，循迹误差采用加权质心：</w:t>
      </w:r>
    </w:p>
    <w:p>
      <w:pPr>
        <w:spacing w:before="20" w:after="20" w:line="360" w:lineRule="exact"/>
        <w:jc w:val="center"/>
      </w:pPr>
      <w:r>
        <w:rPr>
          <w:rFonts w:ascii="Times New Roman" w:hAnsi="Times New Roman" w:eastAsia="宋体"/>
          <w:b w:val="0"/>
          <w:sz w:val="22"/>
        </w:rPr>
        <w:t>eL=Σ(pi·si)/Σsi−e0，  uL=Kp·eL+Ki∫eLdt+Kd·deL/dt</w:t>
      </w:r>
    </w:p>
    <w:p>
      <w:pPr>
        <w:spacing w:before="0" w:after="0" w:line="40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控制量uL叠加到左右轮基准PWM，并在弯道降低内侧轮需求。直线段再比较10 ms窗口编码器增量；左轮A相1倍频计数乘4后与右轮硬件QEI同量纲比较，速度PI仅在软启动完成、转向量较小且两轮均有新脉冲时更新，缺脉冲或故障立即清积分。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551"/>
            <w:vAlign w:val="center"/>
            <w:shd w:fill="D9E1F2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验收场景</w:t>
            </w:r>
          </w:p>
        </w:tc>
        <w:tc>
          <w:tcPr>
            <w:tcW w:type="dxa" w:w="3118"/>
            <w:vAlign w:val="center"/>
            <w:shd w:fill="D9E1F2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路径/时间</w:t>
            </w:r>
          </w:p>
        </w:tc>
        <w:tc>
          <w:tcPr>
            <w:tcW w:type="dxa" w:w="3685"/>
            <w:vAlign w:val="center"/>
            <w:shd w:fill="D9E1F2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理论最低平均速度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A→B</w:t>
            </w:r>
          </w:p>
        </w:tc>
        <w:tc>
          <w:tcPr>
            <w:tcW w:type="dxa" w:w="3118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1.5 m / 8 s</w:t>
            </w:r>
          </w:p>
        </w:tc>
        <w:tc>
          <w:tcPr>
            <w:tcW w:type="dxa" w:w="3685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0.188 m/s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单圈循迹停车</w:t>
            </w:r>
          </w:p>
        </w:tc>
        <w:tc>
          <w:tcPr>
            <w:tcW w:type="dxa" w:w="3118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6.142 m / 20 s</w:t>
            </w:r>
          </w:p>
        </w:tc>
        <w:tc>
          <w:tcPr>
            <w:tcW w:type="dxa" w:w="3685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0.307 m/s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动态平衡单圈</w:t>
            </w:r>
          </w:p>
        </w:tc>
        <w:tc>
          <w:tcPr>
            <w:tcW w:type="dxa" w:w="3118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6.142 m / 30 s</w:t>
            </w:r>
          </w:p>
        </w:tc>
        <w:tc>
          <w:tcPr>
            <w:tcW w:type="dxa" w:w="3685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0.205 m/s</w:t>
            </w:r>
          </w:p>
        </w:tc>
      </w:tr>
    </w:tbl>
    <w:p>
      <w:pPr>
        <w:spacing w:after="0"/>
      </w:pPr>
    </w:p>
    <w:p>
      <w:pPr>
        <w:spacing w:before="40" w:after="20" w:line="360" w:lineRule="exact"/>
        <w:jc w:val="left"/>
      </w:pPr>
      <w:r>
        <w:rPr>
          <w:rFonts w:ascii="黑体" w:hAnsi="黑体" w:eastAsia="黑体"/>
          <w:b/>
          <w:sz w:val="24"/>
        </w:rPr>
        <w:t>2、球—杆系统控制理论</w:t>
      </w:r>
    </w:p>
    <w:p>
      <w:pPr>
        <w:spacing w:before="0" w:after="0" w:line="40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将钢球视为无滑动滚动的实心球，x为相对摆杆中心的位置，θ为摆杆小角度，at为车辆沿杆方向的等效扰动。忽略高阶项时：</w:t>
      </w:r>
    </w:p>
    <w:p>
      <w:pPr>
        <w:spacing w:before="20" w:after="20" w:line="360" w:lineRule="exact"/>
        <w:jc w:val="center"/>
      </w:pPr>
      <w:r>
        <w:rPr>
          <w:rFonts w:ascii="Times New Roman" w:hAnsi="Times New Roman" w:eastAsia="宋体"/>
          <w:b w:val="0"/>
          <w:sz w:val="22"/>
        </w:rPr>
        <w:t>x¨≈(5/7)(g·θ−at)</w:t>
      </w:r>
    </w:p>
    <w:p>
      <w:pPr>
        <w:spacing w:before="0" w:after="0" w:line="40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该对象近似为二重积分环节，单纯开环给角易产生越位和振荡。因此外环依据K230的球位、速度和数据置信度计算期望杆角θd，采用PD为主、弱积分消除静差，并对θd、角速度和积分限幅；内环依据MS42CG计数及连杆标定表控制D36A的STEP/DIR/EN，使实际杆角跟踪θd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515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contro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15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line="280" w:lineRule="exact"/>
        <w:jc w:val="center"/>
      </w:pPr>
      <w:r>
        <w:rPr>
          <w:rFonts w:ascii="宋体" w:hAnsi="宋体" w:eastAsia="宋体"/>
          <w:b w:val="0"/>
          <w:sz w:val="21"/>
        </w:rPr>
        <w:t>图2-1  循迹与滚球双闭环控制结构</w:t>
      </w:r>
    </w:p>
    <w:p>
      <w:pPr>
        <w:spacing w:before="0" w:after="0" w:line="38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当视觉帧超过100 ms未更新、CRC错误、置信度不足或帧号停滞时，旧坐标立即失效；控制器清积分、摆杆回安全角并禁止继续使用预测位置。</w:t>
      </w:r>
    </w:p>
    <w:p>
      <w:r>
        <w:br w:type="page"/>
      </w:r>
    </w:p>
    <w:p>
      <w:pPr>
        <w:spacing w:before="80" w:after="20" w:line="360" w:lineRule="exact"/>
        <w:jc w:val="left"/>
      </w:pPr>
      <w:r>
        <w:rPr>
          <w:rFonts w:ascii="黑体" w:hAnsi="黑体" w:eastAsia="黑体"/>
          <w:b/>
          <w:sz w:val="28"/>
        </w:rPr>
        <w:t>三、电路与程序设计</w:t>
      </w:r>
    </w:p>
    <w:p>
      <w:pPr>
        <w:spacing w:before="40" w:after="20" w:line="360" w:lineRule="exact"/>
        <w:jc w:val="left"/>
      </w:pPr>
      <w:r>
        <w:rPr>
          <w:rFonts w:ascii="黑体" w:hAnsi="黑体" w:eastAsia="黑体"/>
          <w:b/>
          <w:sz w:val="24"/>
        </w:rPr>
        <w:t>1、电路与系统结构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6567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syste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656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line="280" w:lineRule="exact"/>
        <w:jc w:val="center"/>
      </w:pPr>
      <w:r>
        <w:rPr>
          <w:rFonts w:ascii="宋体" w:hAnsi="宋体" w:eastAsia="宋体"/>
          <w:b w:val="0"/>
          <w:sz w:val="21"/>
        </w:rPr>
        <w:t>图3-1  系统总体框图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757"/>
            <w:vAlign w:val="center"/>
            <w:shd w:fill="D9E1F2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模块</w:t>
            </w:r>
          </w:p>
        </w:tc>
        <w:tc>
          <w:tcPr>
            <w:tcW w:type="dxa" w:w="2665"/>
            <w:vAlign w:val="center"/>
            <w:shd w:fill="D9E1F2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主要接口</w:t>
            </w:r>
          </w:p>
        </w:tc>
        <w:tc>
          <w:tcPr>
            <w:tcW w:type="dxa" w:w="5046"/>
            <w:vAlign w:val="center"/>
            <w:shd w:fill="D9E1F2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设计作用与关键约束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LineFollower_6CH</w:t>
            </w:r>
          </w:p>
        </w:tc>
        <w:tc>
          <w:tcPr>
            <w:tcW w:type="dxa" w:w="2665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I²C0：PA28/PA31，5 V</w:t>
            </w:r>
          </w:p>
        </w:tc>
        <w:tc>
          <w:tcPr>
            <w:tcW w:type="dxa" w:w="5046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六路模拟/数字循迹；总线异常重试，线序和极性需实测确认。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K230</w:t>
            </w:r>
          </w:p>
        </w:tc>
        <w:tc>
          <w:tcPr>
            <w:tcW w:type="dxa" w:w="2665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UART1_RX：PA9，115200 8N1</w:t>
            </w:r>
          </w:p>
        </w:tc>
        <w:tc>
          <w:tcPr>
            <w:tcW w:type="dxa" w:w="5046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固定14字节、CRC-8/ATM；输出球位、速度、置信度和像素坐标。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左右轮/DRV8870</w:t>
            </w:r>
          </w:p>
        </w:tc>
        <w:tc>
          <w:tcPr>
            <w:tcW w:type="dxa" w:w="2665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PB14/PB12/PA7/PB24</w:t>
            </w:r>
          </w:p>
        </w:tc>
        <w:tc>
          <w:tcPr>
            <w:tcW w:type="dxa" w:w="5046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四路逻辑控制双H桥；电机功率线绕过扩展板，默认输出为零。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左右编码器</w:t>
            </w:r>
          </w:p>
        </w:tc>
        <w:tc>
          <w:tcPr>
            <w:tcW w:type="dxa" w:w="2665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PB4/PB5；PB10/PB11</w:t>
            </w:r>
          </w:p>
        </w:tc>
        <w:tc>
          <w:tcPr>
            <w:tcW w:type="dxa" w:w="5046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左轮GPIO 1倍频、右轮TIMG8 QEI；用于速度估计和失速检测。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D36A通道1</w:t>
            </w:r>
          </w:p>
        </w:tc>
        <w:tc>
          <w:tcPr>
            <w:tcW w:type="dxa" w:w="2665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PA26/PA24/PB0</w:t>
            </w:r>
          </w:p>
        </w:tc>
        <w:tc>
          <w:tcPr>
            <w:tcW w:type="dxa" w:w="5046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STEP/DIR/EN控制摆杆；必须限频、限角、限时并具硬件失能。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MS42CG</w:t>
            </w:r>
          </w:p>
        </w:tc>
        <w:tc>
          <w:tcPr>
            <w:tcW w:type="dxa" w:w="2665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PA29/PA30，PWM/Z保留</w:t>
            </w:r>
          </w:p>
        </w:tc>
        <w:tc>
          <w:tcPr>
            <w:tcW w:type="dxa" w:w="5046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A/B角度反馈、零点与失步监测；3.3 V逻辑域。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OLED</w:t>
            </w:r>
          </w:p>
        </w:tc>
        <w:tc>
          <w:tcPr>
            <w:tcW w:type="dxa" w:w="2665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I²C1：PB3/PB2</w:t>
            </w:r>
          </w:p>
        </w:tc>
        <w:tc>
          <w:tcPr>
            <w:tcW w:type="dxa" w:w="5046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显示模式、时间、球位和故障码；不参与闭环。</w:t>
            </w:r>
          </w:p>
        </w:tc>
      </w:tr>
    </w:tbl>
    <w:p>
      <w:pPr>
        <w:spacing w:after="0"/>
      </w:pPr>
    </w:p>
    <w:p>
      <w:pPr>
        <w:spacing w:before="40" w:after="20" w:line="360" w:lineRule="exact"/>
        <w:jc w:val="left"/>
      </w:pPr>
      <w:r>
        <w:rPr>
          <w:rFonts w:ascii="黑体" w:hAnsi="黑体" w:eastAsia="黑体"/>
          <w:b/>
          <w:sz w:val="24"/>
        </w:rPr>
        <w:t>2、电源与安全设计</w:t>
      </w:r>
    </w:p>
    <w:p>
      <w:pPr>
        <w:spacing w:before="0" w:after="0" w:line="40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逻辑域、视觉模块和功率执行器分域供电并共地；车轮与步进功率不由开发板3.3 V供电。电池标称11.1 V，5 V由降压模块提供，接入前必须测量空载/带载电压与纹波。电机支路设置保险和可触及物理断能；软件上电默认PWM为0、D36A失能，控制超期、丢线、编码器停滞、过流或棕断均进入STOP。</w:t>
      </w:r>
    </w:p>
    <w:p>
      <w:pPr>
        <w:spacing w:before="40" w:after="20" w:line="360" w:lineRule="exact"/>
        <w:jc w:val="left"/>
      </w:pPr>
      <w:r>
        <w:rPr>
          <w:rFonts w:ascii="黑体" w:hAnsi="黑体" w:eastAsia="黑体"/>
          <w:b/>
          <w:sz w:val="24"/>
        </w:rPr>
        <w:t>3、接口完整性设计</w:t>
      </w:r>
    </w:p>
    <w:p>
      <w:pPr>
        <w:spacing w:before="0" w:after="0" w:line="40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K230与MCU只采用单向位置链，视频图传链独立送至场外显示/存储设备；控制链与展示链解耦，避免显示阻塞影响实时控制。I²C0仅服务循迹模块，I²C1仅服务OLED，消除共享总线故障扩散。</w:t>
      </w:r>
    </w:p>
    <w:p>
      <w:r>
        <w:br w:type="page"/>
      </w:r>
    </w:p>
    <w:p>
      <w:pPr>
        <w:spacing w:before="80" w:after="20" w:line="360" w:lineRule="exact"/>
        <w:jc w:val="left"/>
      </w:pPr>
      <w:r>
        <w:rPr>
          <w:rFonts w:ascii="黑体" w:hAnsi="黑体" w:eastAsia="黑体"/>
          <w:b/>
          <w:sz w:val="28"/>
        </w:rPr>
        <w:t>三、电路与程序设计（续）</w:t>
      </w:r>
    </w:p>
    <w:p>
      <w:pPr>
        <w:spacing w:before="40" w:after="20" w:line="360" w:lineRule="exact"/>
        <w:jc w:val="left"/>
      </w:pPr>
      <w:r>
        <w:rPr>
          <w:rFonts w:ascii="黑体" w:hAnsi="黑体" w:eastAsia="黑体"/>
          <w:b/>
          <w:sz w:val="24"/>
        </w:rPr>
        <w:t>4、程序功能与分层设计</w:t>
      </w:r>
    </w:p>
    <w:p>
      <w:pPr>
        <w:spacing w:before="0" w:after="0" w:line="40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软件采用“应用状态机—算法—驱动—板级安全”四层结构。应用层负责REQ-002/REQ-003互锁、计时和完成判据；算法层包含归一化循迹、PID及抗饱和；驱动层管理I²C、UART、编码器、PWM、OLED和无线诊断；板级安全层以SysTick持续强制安全输出。中断只完成采样入队和计数，解析与控制在前台周期任务中执行，降低中断抖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2912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91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line="280" w:lineRule="exact"/>
        <w:jc w:val="center"/>
      </w:pPr>
      <w:r>
        <w:rPr>
          <w:rFonts w:ascii="宋体" w:hAnsi="宋体" w:eastAsia="宋体"/>
          <w:b w:val="0"/>
          <w:sz w:val="21"/>
        </w:rPr>
        <w:t>图3-2  主程序状态机与安全处理流程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928"/>
            <w:vAlign w:val="center"/>
            <w:shd w:fill="D9E1F2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状态/机制</w:t>
            </w:r>
          </w:p>
        </w:tc>
        <w:tc>
          <w:tcPr>
            <w:tcW w:type="dxa" w:w="3402"/>
            <w:vAlign w:val="center"/>
            <w:shd w:fill="D9E1F2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主要动作</w:t>
            </w:r>
          </w:p>
        </w:tc>
        <w:tc>
          <w:tcPr>
            <w:tcW w:type="dxa" w:w="4082"/>
            <w:vAlign w:val="center"/>
            <w:shd w:fill="D9E1F2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转移或保护条件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IDLE/ARMED</w:t>
            </w:r>
          </w:p>
        </w:tc>
        <w:tc>
          <w:tcPr>
            <w:tcW w:type="dxa" w:w="3402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输出锁止，等待KEY2或KEY3</w:t>
            </w:r>
          </w:p>
        </w:tc>
        <w:tc>
          <w:tcPr>
            <w:tcW w:type="dxa" w:w="4082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按键去抖30 ms；只允许一个任务Owner。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REQ-002运行</w:t>
            </w:r>
          </w:p>
        </w:tc>
        <w:tc>
          <w:tcPr>
            <w:tcW w:type="dxa" w:w="3402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5 ms循迹控制，10 ms速度统计，软启动</w:t>
            </w:r>
          </w:p>
        </w:tc>
        <w:tc>
          <w:tcPr>
            <w:tcW w:type="dxa" w:w="4082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离开A点后计圈；回到A点确认后停车并冻结时间。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REQ-003运行</w:t>
            </w:r>
          </w:p>
        </w:tc>
        <w:tc>
          <w:tcPr>
            <w:tcW w:type="dxa" w:w="3402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O→+5 cm→−5 cm分段目标</w:t>
            </w:r>
          </w:p>
        </w:tc>
        <w:tc>
          <w:tcPr>
            <w:tcW w:type="dxa" w:w="4082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到点需同时满足位置误差、速度和稳定时间判据。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FAULT/STOP</w:t>
            </w:r>
          </w:p>
        </w:tc>
        <w:tc>
          <w:tcPr>
            <w:tcW w:type="dxa" w:w="3402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PWM=0，D36A失能，清积分并记录原因</w:t>
            </w:r>
          </w:p>
        </w:tc>
        <w:tc>
          <w:tcPr>
            <w:tcW w:type="dxa" w:w="4082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传感器超时、通信CRC错、失线、卡滞、限位或控制超期。</w:t>
            </w:r>
          </w:p>
        </w:tc>
      </w:tr>
    </w:tbl>
    <w:p>
      <w:pPr>
        <w:spacing w:after="0"/>
      </w:pPr>
    </w:p>
    <w:p>
      <w:pPr>
        <w:spacing w:before="40" w:after="20" w:line="360" w:lineRule="exact"/>
        <w:jc w:val="left"/>
      </w:pPr>
      <w:r>
        <w:rPr>
          <w:rFonts w:ascii="黑体" w:hAnsi="黑体" w:eastAsia="黑体"/>
          <w:b/>
          <w:sz w:val="24"/>
        </w:rPr>
        <w:t>5、关键程序流程</w:t>
      </w:r>
    </w:p>
    <w:p>
      <w:pPr>
        <w:spacing w:before="0" w:after="0" w:line="40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循迹数据先按白底/黑线标定归一化，若有效信号和不足则判丢线；PID微分项采用低通滤波，输出和积分均限幅。K230接收采用ISR单生产者队列，前台按55 AA帧头重同步并校验状态、序号和CRC；只有linkFresh与measurementUsable同时为真时才向球位控制器提交数据。</w:t>
      </w:r>
    </w:p>
    <w:p>
      <w:pPr>
        <w:spacing w:before="0" w:after="0" w:line="40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停车采用“标志确认+最短离开时间+状态锁存”而非单次传感器触发，避免A点抖动重复计圈。到达COMPLETE后冻结计时并持续执行安全停车，不因显示或通信任务延迟而恢复输出。</w:t>
      </w:r>
    </w:p>
    <w:p>
      <w:r>
        <w:br w:type="page"/>
      </w:r>
    </w:p>
    <w:p>
      <w:pPr>
        <w:spacing w:before="80" w:after="20" w:line="360" w:lineRule="exact"/>
        <w:jc w:val="left"/>
      </w:pPr>
      <w:r>
        <w:rPr>
          <w:rFonts w:ascii="黑体" w:hAnsi="黑体" w:eastAsia="黑体"/>
          <w:b/>
          <w:sz w:val="28"/>
        </w:rPr>
        <w:t>四、测试方案与测试结果</w:t>
      </w:r>
    </w:p>
    <w:p>
      <w:pPr>
        <w:spacing w:before="40" w:after="20" w:line="360" w:lineRule="exact"/>
        <w:jc w:val="left"/>
      </w:pPr>
      <w:r>
        <w:rPr>
          <w:rFonts w:ascii="黑体" w:hAnsi="黑体" w:eastAsia="黑体"/>
          <w:b/>
          <w:sz w:val="24"/>
        </w:rPr>
        <w:t>1、测试方案与仪器</w:t>
      </w:r>
    </w:p>
    <w:p>
      <w:pPr>
        <w:spacing w:before="0" w:after="0" w:line="40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测试按“静态检查→构建→逻辑域→架空低功率→静止无球→静止带球→地面低速→完整场景”逐级开展。主要仪器包括数字万用表、示波器/逻辑分析仪、直流电源及限流模块、转速/位移标尺、场外录像设备。每次记录固件哈希、接线版本、供电、电池状态、参数、原始视频和异常。</w:t>
      </w:r>
    </w:p>
    <w:p>
      <w:pPr>
        <w:spacing w:before="40" w:after="20" w:line="360" w:lineRule="exact"/>
        <w:jc w:val="left"/>
      </w:pPr>
      <w:r>
        <w:rPr>
          <w:rFonts w:ascii="黑体" w:hAnsi="黑体" w:eastAsia="黑体"/>
          <w:b/>
          <w:sz w:val="24"/>
        </w:rPr>
        <w:t>2、当前已取得的验证证据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381"/>
            <w:vAlign w:val="center"/>
            <w:shd w:fill="D9E1F2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type="dxa" w:w="1701"/>
            <w:vAlign w:val="center"/>
            <w:shd w:fill="D9E1F2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结果</w:t>
            </w:r>
          </w:p>
        </w:tc>
        <w:tc>
          <w:tcPr>
            <w:tcW w:type="dxa" w:w="5329"/>
            <w:vAlign w:val="center"/>
            <w:shd w:fill="D9E1F2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证据与结论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SysConfig 1.26.2生成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PASS</w:t>
            </w:r>
          </w:p>
        </w:tc>
        <w:tc>
          <w:tcPr>
            <w:tcW w:type="dxa" w:w="5329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当前工程配置可生成；既有低功耗保持提示不影响编译。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固件合同测试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11/11 PASS</w:t>
            </w:r>
          </w:p>
        </w:tc>
        <w:tc>
          <w:tcPr>
            <w:tcW w:type="dxa" w:w="5329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覆盖左编码器GPIO计数、GROUP1中断入口、归一化与速度PI安全门。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Debug编译/链接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PASS</w:t>
            </w:r>
          </w:p>
        </w:tc>
        <w:tc>
          <w:tcPr>
            <w:tcW w:type="dxa" w:w="5329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TI clang 5.1.1 LTS；输出SHA-256为D68F…1E25。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MotorSelfTest编译/链接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PASS</w:t>
            </w:r>
          </w:p>
        </w:tc>
        <w:tc>
          <w:tcPr>
            <w:tcW w:type="dxa" w:w="5329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输出SHA-256为0F05…A2B6；仅证明构建，不等于硬件通过。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无线诊断链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实测PASS</w:t>
            </w:r>
          </w:p>
        </w:tc>
        <w:tc>
          <w:tcPr>
            <w:tcW w:type="dxa" w:w="5329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COM7收到“@RFTEST NF02PA LINK OK\r\n”共24字节，证明单向诊断链可用。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87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calibr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line="280" w:lineRule="exact"/>
        <w:jc w:val="center"/>
      </w:pPr>
      <w:r>
        <w:rPr>
          <w:rFonts w:ascii="宋体" w:hAnsi="宋体" w:eastAsia="宋体"/>
          <w:b w:val="0"/>
          <w:sz w:val="21"/>
        </w:rPr>
        <w:t>图4-1  六路循迹传感器当前标定表（代码静态值，需按赛道复标）</w:t>
      </w:r>
    </w:p>
    <w:p>
      <w:pPr>
        <w:spacing w:before="40" w:after="20" w:line="360" w:lineRule="exact"/>
        <w:jc w:val="left"/>
      </w:pPr>
      <w:r>
        <w:rPr>
          <w:rFonts w:ascii="黑体" w:hAnsi="黑体" w:eastAsia="黑体"/>
          <w:b/>
          <w:sz w:val="24"/>
        </w:rPr>
        <w:t>3、性能测试记录表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984"/>
            <w:vAlign w:val="center"/>
            <w:shd w:fill="D9E1F2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题目要求</w:t>
            </w:r>
          </w:p>
        </w:tc>
        <w:tc>
          <w:tcPr>
            <w:tcW w:type="dxa" w:w="2835"/>
            <w:vAlign w:val="center"/>
            <w:shd w:fill="D9E1F2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指标</w:t>
            </w:r>
          </w:p>
        </w:tc>
        <w:tc>
          <w:tcPr>
            <w:tcW w:type="dxa" w:w="3061"/>
            <w:vAlign w:val="center"/>
            <w:shd w:fill="D9E1F2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实测结果</w:t>
            </w:r>
          </w:p>
        </w:tc>
        <w:tc>
          <w:tcPr>
            <w:tcW w:type="dxa" w:w="1417"/>
            <w:vAlign w:val="center"/>
            <w:shd w:fill="D9E1F2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判定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REQ-001 图传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稳定实时显示并完整录像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待实测填写</w:t>
            </w:r>
          </w:p>
        </w:tc>
        <w:tc>
          <w:tcPr>
            <w:tcW w:type="dxa" w:w="1417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NOT RUN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REQ-002 单圈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≤20 s，停车偏差≤2 cm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时间____s；偏差____cm</w:t>
            </w:r>
          </w:p>
        </w:tc>
        <w:tc>
          <w:tcPr>
            <w:tcW w:type="dxa" w:w="1417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待判定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REQ-003 静止摆球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≤5 s；±5 cm误差≤1 cm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时间____s；误差+____/−____cm</w:t>
            </w:r>
          </w:p>
        </w:tc>
        <w:tc>
          <w:tcPr>
            <w:tcW w:type="dxa" w:w="1417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待判定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REQ-004 A→B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≤8 s；球位误差≤1 cm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时间____s；最大误差____cm</w:t>
            </w:r>
          </w:p>
        </w:tc>
        <w:tc>
          <w:tcPr>
            <w:tcW w:type="dxa" w:w="1417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待判定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REQ-005 单圈O点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≤30 s；球位误差≤1 cm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时间____s；最大误差____cm</w:t>
            </w:r>
          </w:p>
        </w:tc>
        <w:tc>
          <w:tcPr>
            <w:tcW w:type="dxa" w:w="1417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待判定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REQ-006 任意点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≤30 s；球位误差≤1 cm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目标____cm；最大误差____cm</w:t>
            </w:r>
          </w:p>
        </w:tc>
        <w:tc>
          <w:tcPr>
            <w:tcW w:type="dxa" w:w="1417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待判定</w:t>
            </w:r>
          </w:p>
        </w:tc>
      </w:tr>
    </w:tbl>
    <w:p>
      <w:pPr>
        <w:spacing w:after="0"/>
      </w:pPr>
    </w:p>
    <w:p>
      <w:pPr>
        <w:spacing w:before="0" w:after="0" w:line="320" w:lineRule="exact"/>
        <w:jc w:val="both"/>
      </w:pPr>
      <w:r>
        <w:rPr>
          <w:rFonts w:ascii="宋体" w:hAnsi="宋体" w:eastAsia="宋体"/>
          <w:b w:val="0"/>
          <w:sz w:val="21"/>
        </w:rPr>
        <w:t>说明：上表空白项必须由同一机械版本、同一固件与完整录像对应填写；不得用构建结果替代性能实测。</w:t>
      </w:r>
    </w:p>
    <w:p>
      <w:r>
        <w:br w:type="page"/>
      </w:r>
    </w:p>
    <w:p>
      <w:pPr>
        <w:spacing w:before="80" w:after="20" w:line="360" w:lineRule="exact"/>
        <w:jc w:val="left"/>
      </w:pPr>
      <w:r>
        <w:rPr>
          <w:rFonts w:ascii="黑体" w:hAnsi="黑体" w:eastAsia="黑体"/>
          <w:b/>
          <w:sz w:val="28"/>
        </w:rPr>
        <w:t>四、测试结果分析（续）</w:t>
      </w:r>
    </w:p>
    <w:p>
      <w:pPr>
        <w:spacing w:before="40" w:after="20" w:line="360" w:lineRule="exact"/>
        <w:jc w:val="left"/>
      </w:pPr>
      <w:r>
        <w:rPr>
          <w:rFonts w:ascii="黑体" w:hAnsi="黑体" w:eastAsia="黑体"/>
          <w:b/>
          <w:sz w:val="24"/>
        </w:rPr>
        <w:t>4、误差来源与针对性改进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814"/>
            <w:vAlign w:val="center"/>
            <w:shd w:fill="D9E1F2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主要误差</w:t>
            </w:r>
          </w:p>
        </w:tc>
        <w:tc>
          <w:tcPr>
            <w:tcW w:type="dxa" w:w="2551"/>
            <w:vAlign w:val="center"/>
            <w:shd w:fill="D9E1F2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影响</w:t>
            </w:r>
          </w:p>
        </w:tc>
        <w:tc>
          <w:tcPr>
            <w:tcW w:type="dxa" w:w="4932"/>
            <w:vAlign w:val="center"/>
            <w:shd w:fill="D9E1F2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改进措施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左右轮参数不一致</w:t>
            </w:r>
          </w:p>
        </w:tc>
        <w:tc>
          <w:tcPr>
            <w:tcW w:type="dxa" w:w="2551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直线漂移、停车偏差</w:t>
            </w:r>
          </w:p>
        </w:tc>
        <w:tc>
          <w:tcPr>
            <w:tcW w:type="dxa" w:w="4932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编码器归一化速度PI；分直线/弯道参数；电池电压分档复测。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传感器安装与光照</w:t>
            </w:r>
          </w:p>
        </w:tc>
        <w:tc>
          <w:tcPr>
            <w:tcW w:type="dxa" w:w="2551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循迹误差和A点误判</w:t>
            </w:r>
          </w:p>
        </w:tc>
        <w:tc>
          <w:tcPr>
            <w:tcW w:type="dxa" w:w="4932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固定离地高度；赛道现场复标六路白/黑值；设置有效信号和与确认时间。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视觉延迟/失帧</w:t>
            </w:r>
          </w:p>
        </w:tc>
        <w:tc>
          <w:tcPr>
            <w:tcW w:type="dxa" w:w="2551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球位超调甚至使用旧坐标</w:t>
            </w:r>
          </w:p>
        </w:tc>
        <w:tc>
          <w:tcPr>
            <w:tcW w:type="dxa" w:w="4932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帧号、CRC、新鲜度与置信度门控；记录端到端延迟并做速度前馈。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连杆回差/步进丢步</w:t>
            </w:r>
          </w:p>
        </w:tc>
        <w:tc>
          <w:tcPr>
            <w:tcW w:type="dxa" w:w="2551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杆角模型偏差、静差增大</w:t>
            </w:r>
          </w:p>
        </w:tc>
        <w:tc>
          <w:tcPr>
            <w:tcW w:type="dxa" w:w="4932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正反向五点标定；MS42CG闭环校正；限制角速度和加速度。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80" w:lineRule="exact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供电纹波与热</w:t>
            </w:r>
          </w:p>
        </w:tc>
        <w:tc>
          <w:tcPr>
            <w:tcW w:type="dxa" w:w="2551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复位、驱动限流或性能漂移</w:t>
            </w:r>
          </w:p>
        </w:tc>
        <w:tc>
          <w:tcPr>
            <w:tcW w:type="dxa" w:w="4932"/>
            <w:vAlign w:val="center"/>
          </w:tcPr>
          <w:p>
            <w:pPr>
              <w:spacing w:after="0" w:line="280" w:lineRule="exact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逻辑/功率分域、近端去耦、保险与散热；记录带载最低电压。</w:t>
            </w:r>
          </w:p>
        </w:tc>
      </w:tr>
    </w:tbl>
    <w:p>
      <w:pPr>
        <w:spacing w:after="0"/>
      </w:pPr>
    </w:p>
    <w:p>
      <w:pPr>
        <w:spacing w:before="80" w:after="20" w:line="360" w:lineRule="exact"/>
        <w:jc w:val="left"/>
      </w:pPr>
      <w:r>
        <w:rPr>
          <w:rFonts w:ascii="黑体" w:hAnsi="黑体" w:eastAsia="黑体"/>
          <w:b/>
          <w:sz w:val="28"/>
        </w:rPr>
        <w:t>五、结论</w:t>
      </w:r>
    </w:p>
    <w:p>
      <w:pPr>
        <w:spacing w:before="0" w:after="0" w:line="400" w:lineRule="exact"/>
        <w:ind w:firstLine="420"/>
        <w:jc w:val="both"/>
      </w:pPr>
      <w:r>
        <w:rPr>
          <w:rFonts w:ascii="宋体" w:hAnsi="宋体" w:eastAsia="宋体"/>
          <w:b w:val="0"/>
          <w:sz w:val="24"/>
        </w:rPr>
        <w:t>本设计围绕评分最高的动态平衡任务，建立了可观测、可执行、可保护的完整闭环：六路红外阵列与差速速度校正负责稳定循迹，K230提供钢球位置，D36A与MS42CG构成摆杆角度执行内环；软件通过模式互锁、状态机、限幅、抗饱和和多源失效检测统一管理。理论上，分层双闭环能够把车体运动扰动与球位控制解耦，并以时间预算和误差预算直接对应题面指标。当前已完成资料复核、接口冻结、合同测试和编译链接验证；整车时间、停车精度和球位误差仍须按第4节表格完成实测后才能宣称达标。</w:t>
      </w:r>
    </w:p>
    <w:p>
      <w:pPr>
        <w:spacing w:before="80" w:after="20" w:line="360" w:lineRule="exact"/>
        <w:jc w:val="left"/>
      </w:pPr>
      <w:r>
        <w:rPr>
          <w:rFonts w:ascii="黑体" w:hAnsi="黑体" w:eastAsia="黑体"/>
          <w:b/>
          <w:sz w:val="28"/>
        </w:rPr>
        <w:t>参考文献</w:t>
      </w:r>
    </w:p>
    <w:p>
      <w:pPr>
        <w:spacing w:before="0" w:after="0" w:line="340" w:lineRule="exact"/>
        <w:jc w:val="both"/>
      </w:pPr>
      <w:r>
        <w:rPr>
          <w:rFonts w:ascii="宋体" w:hAnsi="宋体" w:eastAsia="宋体"/>
          <w:b w:val="0"/>
          <w:sz w:val="21"/>
        </w:rPr>
        <w:t>[1] 全国大学生电子设计竞赛组委会. 2026年TI杯赛区赛H题：车载平衡滚球运动控制系统.</w:t>
      </w:r>
    </w:p>
    <w:p>
      <w:pPr>
        <w:spacing w:before="0" w:after="0" w:line="340" w:lineRule="exact"/>
        <w:jc w:val="both"/>
      </w:pPr>
      <w:r>
        <w:rPr>
          <w:rFonts w:ascii="宋体" w:hAnsi="宋体" w:eastAsia="宋体"/>
          <w:b w:val="0"/>
          <w:sz w:val="21"/>
        </w:rPr>
        <w:t>[2] Texas Instruments. MSPM0G3507 Mixed-Signal Microcontroller Technical Documentation.</w:t>
      </w:r>
    </w:p>
    <w:p>
      <w:pPr>
        <w:spacing w:before="0" w:after="0" w:line="340" w:lineRule="exact"/>
        <w:jc w:val="both"/>
      </w:pPr>
      <w:r>
        <w:rPr>
          <w:rFonts w:ascii="宋体" w:hAnsi="宋体" w:eastAsia="宋体"/>
          <w:b w:val="0"/>
          <w:sz w:val="21"/>
        </w:rPr>
        <w:t>[3] HiWonder/AiBlock. LineFollower_6CH V1.0 快速使用说明及原理图.</w:t>
      </w:r>
    </w:p>
    <w:p>
      <w:pPr>
        <w:spacing w:before="0" w:after="0" w:line="340" w:lineRule="exact"/>
        <w:jc w:val="both"/>
      </w:pPr>
      <w:r>
        <w:rPr>
          <w:rFonts w:ascii="宋体" w:hAnsi="宋体" w:eastAsia="宋体"/>
          <w:b w:val="0"/>
          <w:sz w:val="21"/>
        </w:rPr>
        <w:t>[4] Kendryte. K230目标检测/跟踪开发资料.</w:t>
      </w:r>
    </w:p>
    <w:p>
      <w:pPr>
        <w:spacing w:before="0" w:after="0" w:line="340" w:lineRule="exact"/>
        <w:jc w:val="both"/>
      </w:pPr>
      <w:r>
        <w:rPr>
          <w:rFonts w:ascii="宋体" w:hAnsi="宋体" w:eastAsia="宋体"/>
          <w:b w:val="0"/>
          <w:sz w:val="21"/>
        </w:rPr>
        <w:t>[5] Texas Instruments. DRV8870 Brushed DC Motor Driver Datasheet.</w:t>
      </w:r>
    </w:p>
    <w:p>
      <w:pPr>
        <w:spacing w:before="0" w:after="0" w:line="340" w:lineRule="exact"/>
        <w:jc w:val="both"/>
      </w:pPr>
      <w:r>
        <w:rPr>
          <w:rFonts w:ascii="宋体" w:hAnsi="宋体" w:eastAsia="宋体"/>
          <w:b w:val="0"/>
          <w:sz w:val="21"/>
        </w:rPr>
        <w:t>[6] D36A双路步进电机驱动器用户手册；MS42CG V2编码器用户手册.</w:t>
      </w:r>
    </w:p>
    <w:p>
      <w:pPr>
        <w:spacing w:before="0" w:after="0" w:line="340" w:lineRule="exact"/>
        <w:jc w:val="both"/>
      </w:pPr>
      <w:r>
        <w:rPr>
          <w:rFonts w:ascii="宋体" w:hAnsi="宋体" w:eastAsia="宋体"/>
          <w:b w:val="0"/>
          <w:sz w:val="21"/>
        </w:rPr>
        <w:t>[7] SSD1306 OLED控制器数据手册；nRF24L01+产品规格书.</w:t>
      </w:r>
    </w:p>
    <w:p>
      <w:pPr>
        <w:spacing w:before="40" w:after="20" w:line="360" w:lineRule="exact"/>
        <w:jc w:val="left"/>
      </w:pPr>
      <w:r>
        <w:rPr>
          <w:rFonts w:ascii="黑体" w:hAnsi="黑体" w:eastAsia="黑体"/>
          <w:b/>
          <w:sz w:val="24"/>
        </w:rPr>
        <w:t>赛前提交核验</w:t>
      </w:r>
    </w:p>
    <w:p>
      <w:pPr>
        <w:spacing w:before="0" w:after="0" w:line="340" w:lineRule="exact"/>
        <w:jc w:val="both"/>
      </w:pPr>
      <w:r>
        <w:rPr>
          <w:rFonts w:ascii="宋体" w:hAnsi="宋体" w:eastAsia="宋体"/>
          <w:b w:val="0"/>
          <w:sz w:val="21"/>
        </w:rPr>
        <w:t>必须补齐：①六项题目性能原始数据与对应视频；②车体尺寸、摆杆长度与h≥5 cm照片；③图传接收端位于赛道外的全景证据；④最终BOM、原理图/接线图编号和固件哈希；⑤三次以上重复测试的最大误差而非仅填最好成绩。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45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宋体" w:hAnsi="宋体" w:eastAsia="宋体"/>
        <w:sz w:val="2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