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/>
        <w:jc w:val="center"/>
      </w:pPr>
      <w:r>
        <w:rPr>
          <w:rFonts w:ascii="黑体" w:hAnsi="黑体" w:eastAsia="黑体"/>
          <w:b/>
          <w:sz w:val="44"/>
        </w:rPr>
        <w:t>车载平衡滚球运动控制系统（H题）</w:t>
      </w:r>
    </w:p>
    <w:p>
      <w:pPr>
        <w:spacing w:after="80"/>
        <w:jc w:val="center"/>
      </w:pPr>
      <w:r>
        <w:rPr>
          <w:rFonts w:ascii="宋体" w:hAnsi="宋体" w:eastAsia="宋体"/>
          <w:b w:val="0"/>
          <w:sz w:val="24"/>
        </w:rPr>
        <w:t>2026年8月1日</w:t>
      </w:r>
    </w:p>
    <w:p>
      <w:pPr>
        <w:spacing w:before="80" w:after="20" w:line="360" w:lineRule="exact"/>
        <w:jc w:val="left"/>
      </w:pPr>
      <w:r>
        <w:rPr>
          <w:rFonts w:ascii="黑体" w:hAnsi="黑体" w:eastAsia="黑体"/>
          <w:b/>
          <w:sz w:val="28"/>
        </w:rPr>
        <w:t>摘    要</w:t>
      </w:r>
    </w:p>
    <w:p>
      <w:pPr>
        <w:spacing w:before="0" w:after="0" w:line="440" w:lineRule="exact"/>
        <w:ind w:firstLine="420"/>
        <w:jc w:val="both"/>
      </w:pPr>
      <w:r>
        <w:rPr>
          <w:rFonts w:ascii="宋体" w:hAnsi="宋体" w:eastAsia="宋体"/>
          <w:b w:val="0"/>
          <w:sz w:val="24"/>
        </w:rPr>
        <w:t>针对循线小车运动时钢球在凹槽摆杆上的位置稳定问题，设计了一种以MSPM0G3507为核心的分层双闭环控制系统。小车采用六路红外传感器加权循迹、差速驱动与双轮速度校正；K230视觉模块输出钢球位置和速度，D36A驱动步进电机调节摆杆，MS42CG编码器构成执行器角度内环。软件以状态机统一管理启动、计时、停车、失效保护和模式互锁，并采用限幅、抗饱和、数据新鲜度检查及物理断能策略提高可靠性。报告给出了运动学与球杆模型、硬件接口、程序流程及分阶段测试方法，为满足单圈时间、停车精度和±1 cm球位误差指标提供实现依据。</w:t>
      </w:r>
    </w:p>
    <w:p>
      <w:pPr>
        <w:spacing w:before="0" w:after="0" w:line="440" w:lineRule="exact"/>
        <w:jc w:val="both"/>
      </w:pPr>
      <w:r>
        <w:rPr>
          <w:rFonts w:ascii="宋体" w:hAnsi="宋体" w:eastAsia="宋体"/>
          <w:b w:val="0"/>
          <w:sz w:val="24"/>
        </w:rPr>
        <w:t>关键词：循迹小车；球杆系统；视觉测量；双闭环控制；MSPM0G3507</w:t>
      </w:r>
    </w:p>
    <w:p>
      <w:pPr>
        <w:spacing w:before="80" w:after="20" w:line="360" w:lineRule="exact"/>
        <w:jc w:val="left"/>
      </w:pPr>
      <w:r>
        <w:rPr>
          <w:rFonts w:ascii="黑体" w:hAnsi="黑体" w:eastAsia="黑体"/>
          <w:b/>
          <w:sz w:val="28"/>
        </w:rPr>
        <w:t>一、方案论证</w:t>
      </w:r>
    </w:p>
    <w:p>
      <w:pPr>
        <w:spacing w:before="0" w:after="0" w:line="400" w:lineRule="exact"/>
        <w:ind w:firstLine="420"/>
        <w:jc w:val="both"/>
      </w:pPr>
      <w:r>
        <w:rPr>
          <w:rFonts w:ascii="宋体" w:hAnsi="宋体" w:eastAsia="宋体"/>
          <w:b w:val="0"/>
          <w:sz w:val="24"/>
        </w:rPr>
        <w:t>系统由小车循迹、钢球视觉测量、摆杆执行和状态显示四部分组成。选型以题面得分点、可观测性、闭环完整性和故障可控性为主，而不是单纯追求器件堆叠。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 w:val="true"/>
        </w:trPr>
        <w:tc>
          <w:tcPr>
            <w:tcW w:type="dxa" w:w="1304"/>
            <w:vAlign w:val="center"/>
            <w:shd w:fill="D9E1F2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子系统</w:t>
            </w:r>
          </w:p>
        </w:tc>
        <w:tc>
          <w:tcPr>
            <w:tcW w:type="dxa" w:w="2381"/>
            <w:vAlign w:val="center"/>
            <w:shd w:fill="D9E1F2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备选方案</w:t>
            </w:r>
          </w:p>
        </w:tc>
        <w:tc>
          <w:tcPr>
            <w:tcW w:type="dxa" w:w="5669"/>
            <w:vAlign w:val="center"/>
            <w:shd w:fill="D9E1F2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比较与结论</w:t>
            </w:r>
          </w:p>
        </w:tc>
      </w:tr>
      <w:tr>
        <w:tc>
          <w:tcPr>
            <w:tcW w:type="dxa" w:w="1304"/>
            <w:vAlign w:val="center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循迹检测</w:t>
            </w:r>
          </w:p>
        </w:tc>
        <w:tc>
          <w:tcPr>
            <w:tcW w:type="dxa" w:w="2381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离散TCRT / 摄像头 / 六路红外阵列</w:t>
            </w:r>
          </w:p>
        </w:tc>
        <w:tc>
          <w:tcPr>
            <w:tcW w:type="dxa" w:w="5669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六路I²C阵列同时提供数字状态和16位模拟量，安装、标定和加权误差计算更直接，选用LineFollower_6CH。</w:t>
            </w:r>
          </w:p>
        </w:tc>
      </w:tr>
      <w:tr>
        <w:tc>
          <w:tcPr>
            <w:tcW w:type="dxa" w:w="1304"/>
            <w:vAlign w:val="center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钢球检测</w:t>
            </w:r>
          </w:p>
        </w:tc>
        <w:tc>
          <w:tcPr>
            <w:tcW w:type="dxa" w:w="2381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电阻式/超声 / IMU推算 / K230视觉</w:t>
            </w:r>
          </w:p>
        </w:tc>
        <w:tc>
          <w:tcPr>
            <w:tcW w:type="dxa" w:w="5669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题面要求实时画面；视觉可同时输出球心、速度和置信度，选K230作为钢球位置唯一测量。</w:t>
            </w:r>
          </w:p>
        </w:tc>
      </w:tr>
      <w:tr>
        <w:tc>
          <w:tcPr>
            <w:tcW w:type="dxa" w:w="1304"/>
            <w:vAlign w:val="center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摆杆执行</w:t>
            </w:r>
          </w:p>
        </w:tc>
        <w:tc>
          <w:tcPr>
            <w:tcW w:type="dxa" w:w="2381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RC舵机 / 直流电机 / 步进电机+编码器</w:t>
            </w:r>
          </w:p>
        </w:tc>
        <w:tc>
          <w:tcPr>
            <w:tcW w:type="dxa" w:w="5669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舵机回差与反馈分辨率受限；步进方案便于限速与角度规划，配MS42CG闭合实际轴角。</w:t>
            </w:r>
          </w:p>
        </w:tc>
      </w:tr>
      <w:tr>
        <w:tc>
          <w:tcPr>
            <w:tcW w:type="dxa" w:w="1304"/>
            <w:vAlign w:val="center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车轮驱动</w:t>
            </w:r>
          </w:p>
        </w:tc>
        <w:tc>
          <w:tcPr>
            <w:tcW w:type="dxa" w:w="2381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开环差速 / 单循迹环 / 循迹+速度校正</w:t>
            </w:r>
          </w:p>
        </w:tc>
        <w:tc>
          <w:tcPr>
            <w:tcW w:type="dxa" w:w="5669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在循迹PID外增加双轮速度PI，可抑制左右电机差异和电池电压变化造成的直线偏航。</w:t>
            </w:r>
          </w:p>
        </w:tc>
      </w:tr>
    </w:tbl>
    <w:p>
      <w:pPr>
        <w:spacing w:after="0"/>
      </w:pPr>
    </w:p>
    <w:p>
      <w:pPr>
        <w:spacing w:before="0" w:after="0" w:line="400" w:lineRule="exact"/>
        <w:ind w:firstLine="420"/>
        <w:jc w:val="both"/>
      </w:pPr>
      <w:r>
        <w:rPr>
          <w:rFonts w:ascii="宋体" w:hAnsi="宋体" w:eastAsia="宋体"/>
          <w:b w:val="0"/>
          <w:sz w:val="24"/>
        </w:rPr>
        <w:t>最终形成“两类任务相互隔离、两套闭环分层协同”的方案：REQ-002仅运行循迹与车轮控制；REQ-003仅运行球位外环和摆杆角度内环，另一执行器组始终锁止。</w:t>
      </w:r>
    </w:p>
    <w:p>
      <w:r>
        <w:br w:type="page"/>
      </w:r>
    </w:p>
    <w:p>
      <w:pPr>
        <w:spacing w:before="80" w:after="20" w:line="360" w:lineRule="exact"/>
        <w:jc w:val="left"/>
      </w:pPr>
      <w:r>
        <w:rPr>
          <w:rFonts w:ascii="黑体" w:hAnsi="黑体" w:eastAsia="黑体"/>
          <w:b/>
          <w:sz w:val="28"/>
        </w:rPr>
        <w:t>二、系统理论分析与计算</w:t>
      </w:r>
    </w:p>
    <w:p>
      <w:pPr>
        <w:spacing w:before="40" w:after="20" w:line="360" w:lineRule="exact"/>
        <w:jc w:val="left"/>
      </w:pPr>
      <w:r>
        <w:rPr>
          <w:rFonts w:ascii="黑体" w:hAnsi="黑体" w:eastAsia="黑体"/>
          <w:b/>
          <w:sz w:val="24"/>
        </w:rPr>
        <w:t>1、小车循迹控制理论</w:t>
      </w:r>
    </w:p>
    <w:p>
      <w:pPr>
        <w:spacing w:before="0" w:after="0" w:line="400" w:lineRule="exact"/>
        <w:ind w:firstLine="420"/>
        <w:jc w:val="both"/>
      </w:pPr>
      <w:r>
        <w:rPr>
          <w:rFonts w:ascii="宋体" w:hAnsi="宋体" w:eastAsia="宋体"/>
          <w:b w:val="0"/>
          <w:sz w:val="24"/>
        </w:rPr>
        <w:t>设左右轮线速度为vL、vR，轮距为B，则车体线速度和角速度分别为：</w:t>
      </w:r>
    </w:p>
    <w:p>
      <w:pPr>
        <w:spacing w:before="20" w:after="20" w:line="360" w:lineRule="exact"/>
        <w:jc w:val="center"/>
      </w:pPr>
      <w:r>
        <w:rPr>
          <w:rFonts w:ascii="Times New Roman" w:hAnsi="Times New Roman" w:eastAsia="宋体"/>
          <w:b w:val="0"/>
          <w:sz w:val="22"/>
        </w:rPr>
        <w:t>v=(vR+vL)/2，  ω=(vR−vL)/B</w:t>
      </w:r>
    </w:p>
    <w:p>
      <w:pPr>
        <w:spacing w:before="0" w:after="0" w:line="400" w:lineRule="exact"/>
        <w:ind w:firstLine="420"/>
        <w:jc w:val="both"/>
      </w:pPr>
      <w:r>
        <w:rPr>
          <w:rFonts w:ascii="宋体" w:hAnsi="宋体" w:eastAsia="宋体"/>
          <w:b w:val="0"/>
          <w:sz w:val="24"/>
        </w:rPr>
        <w:t>六路传感器位置权值取pi∈{−1.0,−0.6,−0.2,0.2,0.6,1.0}。对白底/黑线标定值归一化得到si，循迹误差采用加权质心：</w:t>
      </w:r>
    </w:p>
    <w:p>
      <w:pPr>
        <w:spacing w:before="20" w:after="20" w:line="360" w:lineRule="exact"/>
        <w:jc w:val="center"/>
      </w:pPr>
      <w:r>
        <w:rPr>
          <w:rFonts w:ascii="Times New Roman" w:hAnsi="Times New Roman" w:eastAsia="宋体"/>
          <w:b w:val="0"/>
          <w:sz w:val="22"/>
        </w:rPr>
        <w:t>eL=Σ(pi·si)/Σsi−e0，  uL=Kp·eL+Ki∫eLdt+Kd·deL/dt</w:t>
      </w:r>
    </w:p>
    <w:p>
      <w:pPr>
        <w:spacing w:before="0" w:after="0" w:line="400" w:lineRule="exact"/>
        <w:ind w:firstLine="420"/>
        <w:jc w:val="both"/>
      </w:pPr>
      <w:r>
        <w:rPr>
          <w:rFonts w:ascii="宋体" w:hAnsi="宋体" w:eastAsia="宋体"/>
          <w:b w:val="0"/>
          <w:sz w:val="24"/>
        </w:rPr>
        <w:t>控制量uL叠加到左右轮基准PWM，并在弯道降低内侧轮需求。直线段再比较10 ms窗口编码器增量；左轮A相1倍频计数乘4后与右轮硬件QEI同量纲比较，速度PI仅在软启动完成、转向量较小且两轮均有新脉冲时更新，缺脉冲或故障立即清积分。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 w:val="true"/>
        </w:trPr>
        <w:tc>
          <w:tcPr>
            <w:tcW w:type="dxa" w:w="2551"/>
            <w:vAlign w:val="center"/>
            <w:shd w:fill="D9E1F2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验收场景</w:t>
            </w:r>
          </w:p>
        </w:tc>
        <w:tc>
          <w:tcPr>
            <w:tcW w:type="dxa" w:w="3118"/>
            <w:vAlign w:val="center"/>
            <w:shd w:fill="D9E1F2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路径/时间</w:t>
            </w:r>
          </w:p>
        </w:tc>
        <w:tc>
          <w:tcPr>
            <w:tcW w:type="dxa" w:w="3685"/>
            <w:vAlign w:val="center"/>
            <w:shd w:fill="D9E1F2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理论最低平均速度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A→B</w:t>
            </w:r>
          </w:p>
        </w:tc>
        <w:tc>
          <w:tcPr>
            <w:tcW w:type="dxa" w:w="3118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9"/>
              </w:rPr>
              <w:t>1.5 m / 8 s</w:t>
            </w:r>
          </w:p>
        </w:tc>
        <w:tc>
          <w:tcPr>
            <w:tcW w:type="dxa" w:w="3685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9"/>
              </w:rPr>
              <w:t>0.188 m/s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单圈循迹停车</w:t>
            </w:r>
          </w:p>
        </w:tc>
        <w:tc>
          <w:tcPr>
            <w:tcW w:type="dxa" w:w="3118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9"/>
              </w:rPr>
              <w:t>6.142 m / 20 s</w:t>
            </w:r>
          </w:p>
        </w:tc>
        <w:tc>
          <w:tcPr>
            <w:tcW w:type="dxa" w:w="3685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9"/>
              </w:rPr>
              <w:t>0.307 m/s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动态平衡单圈</w:t>
            </w:r>
          </w:p>
        </w:tc>
        <w:tc>
          <w:tcPr>
            <w:tcW w:type="dxa" w:w="3118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9"/>
              </w:rPr>
              <w:t>6.142 m / 30 s</w:t>
            </w:r>
          </w:p>
        </w:tc>
        <w:tc>
          <w:tcPr>
            <w:tcW w:type="dxa" w:w="3685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9"/>
              </w:rPr>
              <w:t>0.205 m/s</w:t>
            </w:r>
          </w:p>
        </w:tc>
      </w:tr>
    </w:tbl>
    <w:p>
      <w:pPr>
        <w:spacing w:after="0"/>
      </w:pPr>
    </w:p>
    <w:p>
      <w:pPr>
        <w:spacing w:before="40" w:after="20" w:line="360" w:lineRule="exact"/>
        <w:jc w:val="left"/>
      </w:pPr>
      <w:r>
        <w:rPr>
          <w:rFonts w:ascii="黑体" w:hAnsi="黑体" w:eastAsia="黑体"/>
          <w:b/>
          <w:sz w:val="24"/>
        </w:rPr>
        <w:t>2、球—杆系统控制理论</w:t>
      </w:r>
    </w:p>
    <w:p>
      <w:pPr>
        <w:spacing w:before="0" w:after="0" w:line="400" w:lineRule="exact"/>
        <w:ind w:firstLine="420"/>
        <w:jc w:val="both"/>
      </w:pPr>
      <w:r>
        <w:rPr>
          <w:rFonts w:ascii="宋体" w:hAnsi="宋体" w:eastAsia="宋体"/>
          <w:b w:val="0"/>
          <w:sz w:val="24"/>
        </w:rPr>
        <w:t>将钢球视为无滑动滚动的实心球，x为相对摆杆中心的位置，θ为摆杆小角度，at为车辆沿杆方向的等效扰动。忽略高阶项时：</w:t>
      </w:r>
    </w:p>
    <w:p>
      <w:pPr>
        <w:spacing w:before="20" w:after="20" w:line="360" w:lineRule="exact"/>
        <w:jc w:val="center"/>
      </w:pPr>
      <w:r>
        <w:rPr>
          <w:rFonts w:ascii="Times New Roman" w:hAnsi="Times New Roman" w:eastAsia="宋体"/>
          <w:b w:val="0"/>
          <w:sz w:val="22"/>
        </w:rPr>
        <w:t>x¨≈(5/7)(g·θ−at)</w:t>
      </w:r>
    </w:p>
    <w:p>
      <w:pPr>
        <w:spacing w:before="0" w:after="0" w:line="400" w:lineRule="exact"/>
        <w:ind w:firstLine="420"/>
        <w:jc w:val="both"/>
      </w:pPr>
      <w:r>
        <w:rPr>
          <w:rFonts w:ascii="宋体" w:hAnsi="宋体" w:eastAsia="宋体"/>
          <w:b w:val="0"/>
          <w:sz w:val="24"/>
        </w:rPr>
        <w:t>该对象近似为二重积分环节，单纯开环给角易产生越位和振荡。因此外环依据K230的球位、速度和数据置信度计算期望杆角θd，采用PD为主、弱积分消除静差，并对θd、角速度和积分限幅；内环依据MS42CG计数及连杆标定表控制D36A的STEP/DIR/EN，使实际杆角跟踪θ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25150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contro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15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 w:line="280" w:lineRule="exact"/>
        <w:jc w:val="center"/>
      </w:pPr>
      <w:r>
        <w:rPr>
          <w:rFonts w:ascii="宋体" w:hAnsi="宋体" w:eastAsia="宋体"/>
          <w:b w:val="0"/>
          <w:sz w:val="21"/>
        </w:rPr>
        <w:t>图2-1  循迹与滚球双闭环控制结构</w:t>
      </w:r>
    </w:p>
    <w:p>
      <w:pPr>
        <w:spacing w:before="0" w:after="0" w:line="380" w:lineRule="exact"/>
        <w:ind w:firstLine="420"/>
        <w:jc w:val="both"/>
      </w:pPr>
      <w:r>
        <w:rPr>
          <w:rFonts w:ascii="宋体" w:hAnsi="宋体" w:eastAsia="宋体"/>
          <w:b w:val="0"/>
          <w:sz w:val="24"/>
        </w:rPr>
        <w:t>当视觉帧超过100 ms未更新、CRC错误、置信度不足或帧号停滞时，旧坐标立即失效；控制器清积分、摆杆回安全角并禁止继续使用预测位置。</w:t>
      </w:r>
    </w:p>
    <w:p>
      <w:r>
        <w:br w:type="page"/>
      </w:r>
    </w:p>
    <w:p>
      <w:pPr>
        <w:spacing w:before="80" w:after="20" w:line="360" w:lineRule="exact"/>
        <w:jc w:val="left"/>
      </w:pPr>
      <w:r>
        <w:rPr>
          <w:rFonts w:ascii="黑体" w:hAnsi="黑体" w:eastAsia="黑体"/>
          <w:b/>
          <w:sz w:val="28"/>
        </w:rPr>
        <w:t>三、电路与程序设计</w:t>
      </w:r>
    </w:p>
    <w:p>
      <w:pPr>
        <w:spacing w:before="40" w:after="20" w:line="360" w:lineRule="exact"/>
        <w:jc w:val="left"/>
      </w:pPr>
      <w:r>
        <w:rPr>
          <w:rFonts w:ascii="黑体" w:hAnsi="黑体" w:eastAsia="黑体"/>
          <w:b/>
          <w:sz w:val="24"/>
        </w:rPr>
        <w:t>1、电路与系统结构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6567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syste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656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 w:line="280" w:lineRule="exact"/>
        <w:jc w:val="center"/>
      </w:pPr>
      <w:r>
        <w:rPr>
          <w:rFonts w:ascii="宋体" w:hAnsi="宋体" w:eastAsia="宋体"/>
          <w:b w:val="0"/>
          <w:sz w:val="21"/>
        </w:rPr>
        <w:t>图3-1  系统总体框图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 w:val="true"/>
        </w:trPr>
        <w:tc>
          <w:tcPr>
            <w:tcW w:type="dxa" w:w="1757"/>
            <w:vAlign w:val="center"/>
            <w:shd w:fill="D9E1F2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模块</w:t>
            </w:r>
          </w:p>
        </w:tc>
        <w:tc>
          <w:tcPr>
            <w:tcW w:type="dxa" w:w="2665"/>
            <w:vAlign w:val="center"/>
            <w:shd w:fill="D9E1F2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主要接口</w:t>
            </w:r>
          </w:p>
        </w:tc>
        <w:tc>
          <w:tcPr>
            <w:tcW w:type="dxa" w:w="5046"/>
            <w:vAlign w:val="center"/>
            <w:shd w:fill="D9E1F2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设计作用与关键约束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LineFollower_6CH</w:t>
            </w:r>
          </w:p>
        </w:tc>
        <w:tc>
          <w:tcPr>
            <w:tcW w:type="dxa" w:w="2665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I²C0：PA28/PA31，5 V</w:t>
            </w:r>
          </w:p>
        </w:tc>
        <w:tc>
          <w:tcPr>
            <w:tcW w:type="dxa" w:w="5046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六路模拟/数字循迹；总线异常重试，线序和极性需实测确认。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K230</w:t>
            </w:r>
          </w:p>
        </w:tc>
        <w:tc>
          <w:tcPr>
            <w:tcW w:type="dxa" w:w="2665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UART1_RX：PA9，115200 8N1</w:t>
            </w:r>
          </w:p>
        </w:tc>
        <w:tc>
          <w:tcPr>
            <w:tcW w:type="dxa" w:w="5046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固定14字节、CRC-8/ATM；输出球位、速度、置信度和像素坐标。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左右轮/DRV8870</w:t>
            </w:r>
          </w:p>
        </w:tc>
        <w:tc>
          <w:tcPr>
            <w:tcW w:type="dxa" w:w="2665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PB14/PB12/PA7/PB24</w:t>
            </w:r>
          </w:p>
        </w:tc>
        <w:tc>
          <w:tcPr>
            <w:tcW w:type="dxa" w:w="5046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四路逻辑控制双H桥；电机功率线绕过扩展板，默认输出为零。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左右编码器</w:t>
            </w:r>
          </w:p>
        </w:tc>
        <w:tc>
          <w:tcPr>
            <w:tcW w:type="dxa" w:w="2665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PB4/PB5；PB10/PB11</w:t>
            </w:r>
          </w:p>
        </w:tc>
        <w:tc>
          <w:tcPr>
            <w:tcW w:type="dxa" w:w="5046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左轮GPIO 1倍频、右轮TIMG8 QEI；用于速度估计和失速检测。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D36A通道1</w:t>
            </w:r>
          </w:p>
        </w:tc>
        <w:tc>
          <w:tcPr>
            <w:tcW w:type="dxa" w:w="2665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PA26/PA24/PB0</w:t>
            </w:r>
          </w:p>
        </w:tc>
        <w:tc>
          <w:tcPr>
            <w:tcW w:type="dxa" w:w="5046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STEP/DIR/EN控制摆杆；必须限频、限角、限时并具硬件失能。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MS42CG</w:t>
            </w:r>
          </w:p>
        </w:tc>
        <w:tc>
          <w:tcPr>
            <w:tcW w:type="dxa" w:w="2665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PA29/PA30，PWM/Z保留</w:t>
            </w:r>
          </w:p>
        </w:tc>
        <w:tc>
          <w:tcPr>
            <w:tcW w:type="dxa" w:w="5046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A/B角度反馈、零点与失步监测；3.3 V逻辑域。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OLED</w:t>
            </w:r>
          </w:p>
        </w:tc>
        <w:tc>
          <w:tcPr>
            <w:tcW w:type="dxa" w:w="2665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I²C1：PB3/PB2</w:t>
            </w:r>
          </w:p>
        </w:tc>
        <w:tc>
          <w:tcPr>
            <w:tcW w:type="dxa" w:w="5046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显示模式、时间、球位和故障码；不参与闭环。</w:t>
            </w:r>
          </w:p>
        </w:tc>
      </w:tr>
    </w:tbl>
    <w:p>
      <w:pPr>
        <w:spacing w:after="0"/>
      </w:pPr>
    </w:p>
    <w:p>
      <w:pPr>
        <w:spacing w:before="40" w:after="20" w:line="360" w:lineRule="exact"/>
        <w:jc w:val="left"/>
      </w:pPr>
      <w:r>
        <w:rPr>
          <w:rFonts w:ascii="黑体" w:hAnsi="黑体" w:eastAsia="黑体"/>
          <w:b/>
          <w:sz w:val="24"/>
        </w:rPr>
        <w:t>2、电源与安全设计</w:t>
      </w:r>
    </w:p>
    <w:p>
      <w:pPr>
        <w:spacing w:before="0" w:after="0" w:line="400" w:lineRule="exact"/>
        <w:ind w:firstLine="420"/>
        <w:jc w:val="both"/>
      </w:pPr>
      <w:r>
        <w:rPr>
          <w:rFonts w:ascii="宋体" w:hAnsi="宋体" w:eastAsia="宋体"/>
          <w:b w:val="0"/>
          <w:sz w:val="24"/>
        </w:rPr>
        <w:t>逻辑域、视觉模块和功率执行器分域供电并共地；车轮与步进功率不由开发板3.3 V供电。电池标称11.1 V，5 V由降压模块提供，接入前必须测量空载/带载电压与纹波。电机支路设置保险和可触及物理断能；软件上电默认PWM为0、D36A失能，控制超期、丢线、编码器停滞、过流或棕断均进入STOP。</w:t>
      </w:r>
    </w:p>
    <w:p>
      <w:pPr>
        <w:spacing w:before="40" w:after="20" w:line="360" w:lineRule="exact"/>
        <w:jc w:val="left"/>
      </w:pPr>
      <w:r>
        <w:rPr>
          <w:rFonts w:ascii="黑体" w:hAnsi="黑体" w:eastAsia="黑体"/>
          <w:b/>
          <w:sz w:val="24"/>
        </w:rPr>
        <w:t>3、接口完整性设计</w:t>
      </w:r>
    </w:p>
    <w:p>
      <w:pPr>
        <w:spacing w:before="0" w:after="0" w:line="400" w:lineRule="exact"/>
        <w:ind w:firstLine="420"/>
        <w:jc w:val="both"/>
      </w:pPr>
      <w:r>
        <w:rPr>
          <w:rFonts w:ascii="宋体" w:hAnsi="宋体" w:eastAsia="宋体"/>
          <w:b w:val="0"/>
          <w:sz w:val="24"/>
        </w:rPr>
        <w:t>K230与MCU只采用单向位置链，视频图传链独立送至场外显示/存储设备；控制链与展示链解耦，避免显示阻塞影响实时控制。I²C0仅服务循迹模块，I²C1仅服务OLED，消除共享总线故障扩散。</w:t>
      </w:r>
    </w:p>
    <w:p>
      <w:r>
        <w:br w:type="page"/>
      </w:r>
    </w:p>
    <w:p>
      <w:pPr>
        <w:spacing w:before="80" w:after="20" w:line="360" w:lineRule="exact"/>
        <w:jc w:val="left"/>
      </w:pPr>
      <w:r>
        <w:rPr>
          <w:rFonts w:ascii="黑体" w:hAnsi="黑体" w:eastAsia="黑体"/>
          <w:b/>
          <w:sz w:val="28"/>
        </w:rPr>
        <w:t>三、电路与程序设计（续）</w:t>
      </w:r>
    </w:p>
    <w:p>
      <w:pPr>
        <w:spacing w:before="40" w:after="20" w:line="360" w:lineRule="exact"/>
        <w:jc w:val="left"/>
      </w:pPr>
      <w:r>
        <w:rPr>
          <w:rFonts w:ascii="黑体" w:hAnsi="黑体" w:eastAsia="黑体"/>
          <w:b/>
          <w:sz w:val="24"/>
        </w:rPr>
        <w:t>4、程序功能与分层设计</w:t>
      </w:r>
    </w:p>
    <w:p>
      <w:pPr>
        <w:spacing w:before="0" w:after="0" w:line="400" w:lineRule="exact"/>
        <w:ind w:firstLine="420"/>
        <w:jc w:val="both"/>
      </w:pPr>
      <w:r>
        <w:rPr>
          <w:rFonts w:ascii="宋体" w:hAnsi="宋体" w:eastAsia="宋体"/>
          <w:b w:val="0"/>
          <w:sz w:val="24"/>
        </w:rPr>
        <w:t>软件采用“应用状态机—算法—驱动—板级安全”四层结构。应用层负责REQ-002/REQ-003互锁、计时和完成判据；算法层包含归一化循迹、PID及抗饱和；驱动层管理I²C、UART、编码器、PWM、OLED和无线诊断；板级安全层以SysTick持续强制安全输出。中断只完成采样入队和计数，解析与控制在前台周期任务中执行，降低中断抖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28000" cy="2912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912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 w:line="280" w:lineRule="exact"/>
        <w:jc w:val="center"/>
      </w:pPr>
      <w:r>
        <w:rPr>
          <w:rFonts w:ascii="宋体" w:hAnsi="宋体" w:eastAsia="宋体"/>
          <w:b w:val="0"/>
          <w:sz w:val="21"/>
        </w:rPr>
        <w:t>图3-2  主程序状态机与安全处理流程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 w:val="true"/>
        </w:trPr>
        <w:tc>
          <w:tcPr>
            <w:tcW w:type="dxa" w:w="1928"/>
            <w:vAlign w:val="center"/>
            <w:shd w:fill="D9E1F2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状态/机制</w:t>
            </w:r>
          </w:p>
        </w:tc>
        <w:tc>
          <w:tcPr>
            <w:tcW w:type="dxa" w:w="3402"/>
            <w:vAlign w:val="center"/>
            <w:shd w:fill="D9E1F2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主要动作</w:t>
            </w:r>
          </w:p>
        </w:tc>
        <w:tc>
          <w:tcPr>
            <w:tcW w:type="dxa" w:w="4082"/>
            <w:vAlign w:val="center"/>
            <w:shd w:fill="D9E1F2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转移或保护条件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IDLE/ARMED</w:t>
            </w:r>
          </w:p>
        </w:tc>
        <w:tc>
          <w:tcPr>
            <w:tcW w:type="dxa" w:w="3402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输出锁止，等待KEY2或KEY3</w:t>
            </w:r>
          </w:p>
        </w:tc>
        <w:tc>
          <w:tcPr>
            <w:tcW w:type="dxa" w:w="4082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按键去抖30 ms；只允许一个任务Owner。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REQ-002运行</w:t>
            </w:r>
          </w:p>
        </w:tc>
        <w:tc>
          <w:tcPr>
            <w:tcW w:type="dxa" w:w="3402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5 ms循迹控制，10 ms速度统计，软启动</w:t>
            </w:r>
          </w:p>
        </w:tc>
        <w:tc>
          <w:tcPr>
            <w:tcW w:type="dxa" w:w="4082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离开A点后计圈；回到A点确认后停车并冻结时间。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REQ-003运行</w:t>
            </w:r>
          </w:p>
        </w:tc>
        <w:tc>
          <w:tcPr>
            <w:tcW w:type="dxa" w:w="3402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O→+5 cm→−5 cm分段目标</w:t>
            </w:r>
          </w:p>
        </w:tc>
        <w:tc>
          <w:tcPr>
            <w:tcW w:type="dxa" w:w="4082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到点需同时满足位置误差、速度和稳定时间判据。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FAULT/STOP</w:t>
            </w:r>
          </w:p>
        </w:tc>
        <w:tc>
          <w:tcPr>
            <w:tcW w:type="dxa" w:w="3402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PWM=0，D36A失能，清积分并记录原因</w:t>
            </w:r>
          </w:p>
        </w:tc>
        <w:tc>
          <w:tcPr>
            <w:tcW w:type="dxa" w:w="4082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传感器超时、通信CRC错、失线、卡滞、限位或控制超期。</w:t>
            </w:r>
          </w:p>
        </w:tc>
      </w:tr>
    </w:tbl>
    <w:p>
      <w:pPr>
        <w:spacing w:after="0"/>
      </w:pPr>
    </w:p>
    <w:p>
      <w:pPr>
        <w:spacing w:before="40" w:after="20" w:line="360" w:lineRule="exact"/>
        <w:jc w:val="left"/>
      </w:pPr>
      <w:r>
        <w:rPr>
          <w:rFonts w:ascii="黑体" w:hAnsi="黑体" w:eastAsia="黑体"/>
          <w:b/>
          <w:sz w:val="24"/>
        </w:rPr>
        <w:t>5、关键程序流程</w:t>
      </w:r>
    </w:p>
    <w:p>
      <w:pPr>
        <w:spacing w:before="0" w:after="0" w:line="400" w:lineRule="exact"/>
        <w:ind w:firstLine="420"/>
        <w:jc w:val="both"/>
      </w:pPr>
      <w:r>
        <w:rPr>
          <w:rFonts w:ascii="宋体" w:hAnsi="宋体" w:eastAsia="宋体"/>
          <w:b w:val="0"/>
          <w:sz w:val="24"/>
        </w:rPr>
        <w:t>循迹数据先按白底/黑线标定归一化，若有效信号和不足则判丢线；PID微分项采用低通滤波，输出和积分均限幅。K230接收采用ISR单生产者队列，前台按55 AA帧头重同步并校验状态、序号和CRC；只有linkFresh与measurementUsable同时为真时才向球位控制器提交数据。</w:t>
      </w:r>
    </w:p>
    <w:p>
      <w:pPr>
        <w:spacing w:before="0" w:after="0" w:line="400" w:lineRule="exact"/>
        <w:ind w:firstLine="420"/>
        <w:jc w:val="both"/>
      </w:pPr>
      <w:r>
        <w:rPr>
          <w:rFonts w:ascii="宋体" w:hAnsi="宋体" w:eastAsia="宋体"/>
          <w:b w:val="0"/>
          <w:sz w:val="24"/>
        </w:rPr>
        <w:t>停车采用“标志确认+最短离开时间+状态锁存”而非单次传感器触发，避免A点抖动重复计圈。到达COMPLETE后冻结计时并持续执行安全停车，不因显示或通信任务延迟而恢复输出。</w:t>
      </w:r>
    </w:p>
    <w:p>
      <w:r>
        <w:br w:type="page"/>
      </w:r>
    </w:p>
    <w:p>
      <w:pPr>
        <w:spacing w:before="80" w:after="20" w:line="360" w:lineRule="exact"/>
        <w:jc w:val="left"/>
      </w:pPr>
      <w:r>
        <w:rPr>
          <w:rFonts w:ascii="黑体" w:hAnsi="黑体" w:eastAsia="黑体"/>
          <w:b/>
          <w:sz w:val="28"/>
        </w:rPr>
        <w:t>四、测试方案与测试结果</w:t>
      </w:r>
    </w:p>
    <w:p>
      <w:pPr>
        <w:spacing w:before="40" w:after="20" w:line="360" w:lineRule="exact"/>
        <w:jc w:val="left"/>
      </w:pPr>
      <w:r>
        <w:rPr>
          <w:rFonts w:ascii="黑体" w:hAnsi="黑体" w:eastAsia="黑体"/>
          <w:b/>
          <w:sz w:val="24"/>
        </w:rPr>
        <w:t>1、测试方案与仪器</w:t>
      </w:r>
    </w:p>
    <w:p>
      <w:pPr>
        <w:spacing w:before="0" w:after="0" w:line="400" w:lineRule="exact"/>
        <w:ind w:firstLine="420"/>
        <w:jc w:val="both"/>
      </w:pPr>
      <w:r>
        <w:rPr>
          <w:rFonts w:ascii="宋体" w:hAnsi="宋体" w:eastAsia="宋体"/>
          <w:b w:val="0"/>
          <w:sz w:val="24"/>
        </w:rPr>
        <w:t>测试按“静态检查→构建→逻辑域→架空低功率→静止无球→静止带球→地面低速→完整场景”逐级开展。主要仪器包括数字万用表、示波器/逻辑分析仪、直流电源及限流模块、转速/位移标尺、场外录像设备。每次记录固件哈希、接线版本、供电、电池状态、参数、原始视频和异常。</w:t>
      </w:r>
    </w:p>
    <w:p>
      <w:pPr>
        <w:spacing w:before="40" w:after="20" w:line="360" w:lineRule="exact"/>
        <w:jc w:val="left"/>
      </w:pPr>
      <w:r>
        <w:rPr>
          <w:rFonts w:ascii="黑体" w:hAnsi="黑体" w:eastAsia="黑体"/>
          <w:b/>
          <w:sz w:val="24"/>
        </w:rPr>
        <w:t>2、当前已取得的验证证据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 w:val="true"/>
        </w:trPr>
        <w:tc>
          <w:tcPr>
            <w:tcW w:type="dxa" w:w="2381"/>
            <w:vAlign w:val="center"/>
            <w:shd w:fill="D9E1F2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type="dxa" w:w="1701"/>
            <w:vAlign w:val="center"/>
            <w:shd w:fill="D9E1F2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结果</w:t>
            </w:r>
          </w:p>
        </w:tc>
        <w:tc>
          <w:tcPr>
            <w:tcW w:type="dxa" w:w="5329"/>
            <w:vAlign w:val="center"/>
            <w:shd w:fill="D9E1F2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证据与结论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SysConfig 1.26.2生成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PASS</w:t>
            </w:r>
          </w:p>
        </w:tc>
        <w:tc>
          <w:tcPr>
            <w:tcW w:type="dxa" w:w="5329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当前工程配置可生成；既有低功耗保持提示不影响编译。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固件合同测试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11/11 PASS</w:t>
            </w:r>
          </w:p>
        </w:tc>
        <w:tc>
          <w:tcPr>
            <w:tcW w:type="dxa" w:w="5329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覆盖左编码器GPIO计数、GROUP1中断入口、归一化与速度PI安全门。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Debug编译/链接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PASS</w:t>
            </w:r>
          </w:p>
        </w:tc>
        <w:tc>
          <w:tcPr>
            <w:tcW w:type="dxa" w:w="5329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TI clang 5.1.1 LTS；输出SHA-256为D68F…1E25。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MotorSelfTest编译/链接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PASS</w:t>
            </w:r>
          </w:p>
        </w:tc>
        <w:tc>
          <w:tcPr>
            <w:tcW w:type="dxa" w:w="5329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输出SHA-256为0F05…A2B6；仅证明构建，不等于硬件通过。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无线诊断链</w:t>
            </w:r>
          </w:p>
        </w:tc>
        <w:tc>
          <w:tcPr>
            <w:tcW w:type="dxa" w:w="1701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实测PASS</w:t>
            </w:r>
          </w:p>
        </w:tc>
        <w:tc>
          <w:tcPr>
            <w:tcW w:type="dxa" w:w="5329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COM7收到“@RFTEST NF02PA LINK OK\r\n”共24字节，证明单向诊断链可用。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87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calibr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 w:line="280" w:lineRule="exact"/>
        <w:jc w:val="center"/>
      </w:pPr>
      <w:r>
        <w:rPr>
          <w:rFonts w:ascii="宋体" w:hAnsi="宋体" w:eastAsia="宋体"/>
          <w:b w:val="0"/>
          <w:sz w:val="21"/>
        </w:rPr>
        <w:t>图4-1  六路循迹传感器当前标定表（代码静态值，需按赛道复标）</w:t>
      </w:r>
    </w:p>
    <w:p>
      <w:pPr>
        <w:spacing w:before="40" w:after="20" w:line="360" w:lineRule="exact"/>
        <w:jc w:val="left"/>
      </w:pPr>
      <w:r>
        <w:rPr>
          <w:rFonts w:ascii="黑体" w:hAnsi="黑体" w:eastAsia="黑体"/>
          <w:b/>
          <w:sz w:val="24"/>
        </w:rPr>
        <w:t>3、性能测试记录表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rPr>
          <w:tblHeader w:val="true"/>
        </w:trPr>
        <w:tc>
          <w:tcPr>
            <w:tcW w:type="dxa" w:w="1984"/>
            <w:vAlign w:val="center"/>
            <w:shd w:fill="D9E1F2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/>
                <w:sz w:val="16"/>
              </w:rPr>
              <w:t>题目要求</w:t>
            </w:r>
          </w:p>
        </w:tc>
        <w:tc>
          <w:tcPr>
            <w:tcW w:type="dxa" w:w="2835"/>
            <w:vAlign w:val="center"/>
            <w:shd w:fill="D9E1F2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/>
                <w:sz w:val="16"/>
              </w:rPr>
              <w:t>指标</w:t>
            </w:r>
          </w:p>
        </w:tc>
        <w:tc>
          <w:tcPr>
            <w:tcW w:type="dxa" w:w="3061"/>
            <w:vAlign w:val="center"/>
            <w:shd w:fill="D9E1F2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/>
                <w:sz w:val="16"/>
              </w:rPr>
              <w:t>实测结果</w:t>
            </w:r>
          </w:p>
        </w:tc>
        <w:tc>
          <w:tcPr>
            <w:tcW w:type="dxa" w:w="1417"/>
            <w:vAlign w:val="center"/>
            <w:shd w:fill="D9E1F2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/>
                <w:sz w:val="16"/>
              </w:rPr>
              <w:t>判定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REQ-001 图传</w:t>
            </w:r>
          </w:p>
        </w:tc>
        <w:tc>
          <w:tcPr>
            <w:tcW w:type="dxa" w:w="2835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稳定实时显示并完整录像</w:t>
            </w:r>
          </w:p>
        </w:tc>
        <w:tc>
          <w:tcPr>
            <w:tcW w:type="dxa" w:w="3061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待实测填写</w:t>
            </w:r>
          </w:p>
        </w:tc>
        <w:tc>
          <w:tcPr>
            <w:tcW w:type="dxa" w:w="1417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NOT RUN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REQ-002 单圈</w:t>
            </w:r>
          </w:p>
        </w:tc>
        <w:tc>
          <w:tcPr>
            <w:tcW w:type="dxa" w:w="2835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≤20 s，停车偏差≤2 cm</w:t>
            </w:r>
          </w:p>
        </w:tc>
        <w:tc>
          <w:tcPr>
            <w:tcW w:type="dxa" w:w="3061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时间____s；偏差____cm</w:t>
            </w:r>
          </w:p>
        </w:tc>
        <w:tc>
          <w:tcPr>
            <w:tcW w:type="dxa" w:w="1417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待判定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REQ-003 静止摆球</w:t>
            </w:r>
          </w:p>
        </w:tc>
        <w:tc>
          <w:tcPr>
            <w:tcW w:type="dxa" w:w="2835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≤5 s；±5 cm误差≤1 cm</w:t>
            </w:r>
          </w:p>
        </w:tc>
        <w:tc>
          <w:tcPr>
            <w:tcW w:type="dxa" w:w="3061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时间____s；误差+____/−____cm</w:t>
            </w:r>
          </w:p>
        </w:tc>
        <w:tc>
          <w:tcPr>
            <w:tcW w:type="dxa" w:w="1417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待判定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REQ-004 A→B</w:t>
            </w:r>
          </w:p>
        </w:tc>
        <w:tc>
          <w:tcPr>
            <w:tcW w:type="dxa" w:w="2835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≤8 s；球位误差≤1 cm</w:t>
            </w:r>
          </w:p>
        </w:tc>
        <w:tc>
          <w:tcPr>
            <w:tcW w:type="dxa" w:w="3061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时间____s；最大误差____cm</w:t>
            </w:r>
          </w:p>
        </w:tc>
        <w:tc>
          <w:tcPr>
            <w:tcW w:type="dxa" w:w="1417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待判定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REQ-005 单圈O点</w:t>
            </w:r>
          </w:p>
        </w:tc>
        <w:tc>
          <w:tcPr>
            <w:tcW w:type="dxa" w:w="2835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≤30 s；球位误差≤1 cm</w:t>
            </w:r>
          </w:p>
        </w:tc>
        <w:tc>
          <w:tcPr>
            <w:tcW w:type="dxa" w:w="3061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时间____s；最大误差____cm</w:t>
            </w:r>
          </w:p>
        </w:tc>
        <w:tc>
          <w:tcPr>
            <w:tcW w:type="dxa" w:w="1417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待判定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REQ-006 任意点</w:t>
            </w:r>
          </w:p>
        </w:tc>
        <w:tc>
          <w:tcPr>
            <w:tcW w:type="dxa" w:w="2835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≤30 s；球位误差≤1 cm</w:t>
            </w:r>
          </w:p>
        </w:tc>
        <w:tc>
          <w:tcPr>
            <w:tcW w:type="dxa" w:w="3061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目标____cm；最大误差____cm</w:t>
            </w:r>
          </w:p>
        </w:tc>
        <w:tc>
          <w:tcPr>
            <w:tcW w:type="dxa" w:w="1417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待判定</w:t>
            </w:r>
          </w:p>
        </w:tc>
      </w:tr>
    </w:tbl>
    <w:p>
      <w:pPr>
        <w:spacing w:after="0"/>
      </w:pPr>
    </w:p>
    <w:p>
      <w:pPr>
        <w:spacing w:before="0" w:after="0" w:line="320" w:lineRule="exact"/>
        <w:jc w:val="both"/>
      </w:pPr>
      <w:r>
        <w:rPr>
          <w:rFonts w:ascii="宋体" w:hAnsi="宋体" w:eastAsia="宋体"/>
          <w:b w:val="0"/>
          <w:sz w:val="21"/>
        </w:rPr>
        <w:t>说明：上表空白项必须由同一机械版本、同一固件与完整录像对应填写；不得用构建结果替代性能实测。</w:t>
      </w:r>
    </w:p>
    <w:p>
      <w:r>
        <w:br w:type="page"/>
      </w:r>
    </w:p>
    <w:p>
      <w:pPr>
        <w:spacing w:before="80" w:after="20" w:line="360" w:lineRule="exact"/>
        <w:jc w:val="left"/>
      </w:pPr>
      <w:r>
        <w:rPr>
          <w:rFonts w:ascii="黑体" w:hAnsi="黑体" w:eastAsia="黑体"/>
          <w:b/>
          <w:sz w:val="28"/>
        </w:rPr>
        <w:t>四、测试结果分析（续）</w:t>
      </w:r>
    </w:p>
    <w:p>
      <w:pPr>
        <w:spacing w:before="40" w:after="20" w:line="360" w:lineRule="exact"/>
        <w:jc w:val="left"/>
      </w:pPr>
      <w:r>
        <w:rPr>
          <w:rFonts w:ascii="黑体" w:hAnsi="黑体" w:eastAsia="黑体"/>
          <w:b/>
          <w:sz w:val="24"/>
        </w:rPr>
        <w:t>4、误差来源与针对性改进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 w:val="true"/>
        </w:trPr>
        <w:tc>
          <w:tcPr>
            <w:tcW w:type="dxa" w:w="1814"/>
            <w:vAlign w:val="center"/>
            <w:shd w:fill="D9E1F2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主要误差</w:t>
            </w:r>
          </w:p>
        </w:tc>
        <w:tc>
          <w:tcPr>
            <w:tcW w:type="dxa" w:w="2551"/>
            <w:vAlign w:val="center"/>
            <w:shd w:fill="D9E1F2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影响</w:t>
            </w:r>
          </w:p>
        </w:tc>
        <w:tc>
          <w:tcPr>
            <w:tcW w:type="dxa" w:w="4932"/>
            <w:vAlign w:val="center"/>
            <w:shd w:fill="D9E1F2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改进措施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左右轮参数不一致</w:t>
            </w:r>
          </w:p>
        </w:tc>
        <w:tc>
          <w:tcPr>
            <w:tcW w:type="dxa" w:w="2551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直线漂移、停车偏差</w:t>
            </w:r>
          </w:p>
        </w:tc>
        <w:tc>
          <w:tcPr>
            <w:tcW w:type="dxa" w:w="4932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编码器归一化速度PI；分直线/弯道参数；电池电压分档复测。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传感器安装与光照</w:t>
            </w:r>
          </w:p>
        </w:tc>
        <w:tc>
          <w:tcPr>
            <w:tcW w:type="dxa" w:w="2551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循迹误差和A点误判</w:t>
            </w:r>
          </w:p>
        </w:tc>
        <w:tc>
          <w:tcPr>
            <w:tcW w:type="dxa" w:w="4932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固定离地高度；赛道现场复标六路白/黑值；设置有效信号和与确认时间。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视觉延迟/失帧</w:t>
            </w:r>
          </w:p>
        </w:tc>
        <w:tc>
          <w:tcPr>
            <w:tcW w:type="dxa" w:w="2551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球位超调甚至使用旧坐标</w:t>
            </w:r>
          </w:p>
        </w:tc>
        <w:tc>
          <w:tcPr>
            <w:tcW w:type="dxa" w:w="4932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帧号、CRC、新鲜度与置信度门控；记录端到端延迟并做速度前馈。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连杆回差/步进丢步</w:t>
            </w:r>
          </w:p>
        </w:tc>
        <w:tc>
          <w:tcPr>
            <w:tcW w:type="dxa" w:w="2551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杆角模型偏差、静差增大</w:t>
            </w:r>
          </w:p>
        </w:tc>
        <w:tc>
          <w:tcPr>
            <w:tcW w:type="dxa" w:w="4932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正反向五点标定；MS42CG闭环校正；限制角速度和加速度。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 w:line="28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供电纹波与热</w:t>
            </w:r>
          </w:p>
        </w:tc>
        <w:tc>
          <w:tcPr>
            <w:tcW w:type="dxa" w:w="2551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复位、驱动限流或性能漂移</w:t>
            </w:r>
          </w:p>
        </w:tc>
        <w:tc>
          <w:tcPr>
            <w:tcW w:type="dxa" w:w="4932"/>
            <w:vAlign w:val="center"/>
          </w:tcPr>
          <w:p>
            <w:pPr>
              <w:spacing w:after="0" w:line="280" w:lineRule="exact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逻辑/功率分域、近端去耦、保险与散热；记录带载最低电压。</w:t>
            </w:r>
          </w:p>
        </w:tc>
      </w:tr>
    </w:tbl>
    <w:p>
      <w:pPr>
        <w:spacing w:after="0"/>
      </w:pPr>
    </w:p>
    <w:p>
      <w:pPr>
        <w:spacing w:before="80" w:after="20" w:line="360" w:lineRule="exact"/>
        <w:jc w:val="left"/>
      </w:pPr>
      <w:r>
        <w:rPr>
          <w:rFonts w:ascii="黑体" w:hAnsi="黑体" w:eastAsia="黑体"/>
          <w:b/>
          <w:sz w:val="28"/>
        </w:rPr>
        <w:t>五、结论</w:t>
      </w:r>
    </w:p>
    <w:p>
      <w:pPr>
        <w:spacing w:before="0" w:after="0" w:line="400" w:lineRule="exact"/>
        <w:ind w:firstLine="420"/>
        <w:jc w:val="both"/>
      </w:pPr>
      <w:r>
        <w:rPr>
          <w:rFonts w:ascii="宋体" w:hAnsi="宋体" w:eastAsia="宋体"/>
          <w:b w:val="0"/>
          <w:sz w:val="24"/>
        </w:rPr>
        <w:t>本设计围绕评分最高的动态平衡任务，建立了可观测、可执行、可保护的完整闭环：六路红外阵列与差速速度校正负责稳定循迹，K230提供钢球位置，D36A与MS42CG构成摆杆角度执行内环；软件通过模式互锁、状态机、限幅、抗饱和和多源失效检测统一管理。理论上，分层双闭环能够把车体运动扰动与球位控制解耦，并以时间预算和误差预算直接对应题面指标。当前已完成资料复核、接口冻结、合同测试和编译链接验证；整车时间、停车精度和球位误差仍须按第4节表格完成实测后才能宣称达标。</w:t>
      </w:r>
    </w:p>
    <w:p>
      <w:pPr>
        <w:spacing w:before="80" w:after="20" w:line="360" w:lineRule="exact"/>
        <w:jc w:val="left"/>
      </w:pPr>
      <w:r>
        <w:rPr>
          <w:rFonts w:ascii="黑体" w:hAnsi="黑体" w:eastAsia="黑体"/>
          <w:b/>
          <w:sz w:val="28"/>
        </w:rPr>
        <w:t>参考文献</w:t>
      </w:r>
    </w:p>
    <w:p>
      <w:pPr>
        <w:spacing w:before="0" w:after="0" w:line="340" w:lineRule="exact"/>
        <w:jc w:val="both"/>
      </w:pPr>
      <w:r>
        <w:rPr>
          <w:rFonts w:ascii="宋体" w:hAnsi="宋体" w:eastAsia="宋体"/>
          <w:b w:val="0"/>
          <w:sz w:val="21"/>
        </w:rPr>
        <w:t>[1] 全国大学生电子设计竞赛组委会. 2026年TI杯赛区赛H题：车载平衡滚球运动控制系统.</w:t>
      </w:r>
    </w:p>
    <w:p>
      <w:pPr>
        <w:spacing w:before="0" w:after="0" w:line="340" w:lineRule="exact"/>
        <w:jc w:val="both"/>
      </w:pPr>
      <w:r>
        <w:rPr>
          <w:rFonts w:ascii="宋体" w:hAnsi="宋体" w:eastAsia="宋体"/>
          <w:b w:val="0"/>
          <w:sz w:val="21"/>
        </w:rPr>
        <w:t>[2] Texas Instruments. MSPM0G3507 Mixed-Signal Microcontroller Technical Documentation.</w:t>
      </w:r>
    </w:p>
    <w:p>
      <w:pPr>
        <w:spacing w:before="0" w:after="0" w:line="340" w:lineRule="exact"/>
        <w:jc w:val="both"/>
      </w:pPr>
      <w:r>
        <w:rPr>
          <w:rFonts w:ascii="宋体" w:hAnsi="宋体" w:eastAsia="宋体"/>
          <w:b w:val="0"/>
          <w:sz w:val="21"/>
        </w:rPr>
        <w:t>[3] HiWonder/AiBlock. LineFollower_6CH V1.0 快速使用说明及原理图.</w:t>
      </w:r>
    </w:p>
    <w:p>
      <w:pPr>
        <w:spacing w:before="0" w:after="0" w:line="340" w:lineRule="exact"/>
        <w:jc w:val="both"/>
      </w:pPr>
      <w:r>
        <w:rPr>
          <w:rFonts w:ascii="宋体" w:hAnsi="宋体" w:eastAsia="宋体"/>
          <w:b w:val="0"/>
          <w:sz w:val="21"/>
        </w:rPr>
        <w:t>[4] Kendryte. K230目标检测/跟踪开发资料.</w:t>
      </w:r>
    </w:p>
    <w:p>
      <w:pPr>
        <w:spacing w:before="0" w:after="0" w:line="340" w:lineRule="exact"/>
        <w:jc w:val="both"/>
      </w:pPr>
      <w:r>
        <w:rPr>
          <w:rFonts w:ascii="宋体" w:hAnsi="宋体" w:eastAsia="宋体"/>
          <w:b w:val="0"/>
          <w:sz w:val="21"/>
        </w:rPr>
        <w:t>[5] Texas Instruments. DRV8870 Brushed DC Motor Driver Datasheet.</w:t>
      </w:r>
    </w:p>
    <w:p>
      <w:pPr>
        <w:spacing w:before="0" w:after="0" w:line="340" w:lineRule="exact"/>
        <w:jc w:val="both"/>
      </w:pPr>
      <w:r>
        <w:rPr>
          <w:rFonts w:ascii="宋体" w:hAnsi="宋体" w:eastAsia="宋体"/>
          <w:b w:val="0"/>
          <w:sz w:val="21"/>
        </w:rPr>
        <w:t>[6] D36A双路步进电机驱动器用户手册；MS42CG V2编码器用户手册.</w:t>
      </w:r>
    </w:p>
    <w:p>
      <w:pPr>
        <w:spacing w:before="0" w:after="0" w:line="340" w:lineRule="exact"/>
        <w:jc w:val="both"/>
      </w:pPr>
      <w:r>
        <w:rPr>
          <w:rFonts w:ascii="宋体" w:hAnsi="宋体" w:eastAsia="宋体"/>
          <w:b w:val="0"/>
          <w:sz w:val="21"/>
        </w:rPr>
        <w:t>[7] SSD1306 OLED控制器数据手册；nRF24L01+产品规格书.</w:t>
      </w:r>
    </w:p>
    <w:p>
      <w:pPr>
        <w:spacing w:before="40" w:after="20" w:line="360" w:lineRule="exact"/>
        <w:jc w:val="left"/>
      </w:pPr>
      <w:r>
        <w:rPr>
          <w:rFonts w:ascii="黑体" w:hAnsi="黑体" w:eastAsia="黑体"/>
          <w:b/>
          <w:sz w:val="24"/>
        </w:rPr>
        <w:t>赛前提交核验</w:t>
      </w:r>
    </w:p>
    <w:p>
      <w:pPr>
        <w:spacing w:before="0" w:after="0" w:line="340" w:lineRule="exact"/>
        <w:jc w:val="both"/>
      </w:pPr>
      <w:r>
        <w:rPr>
          <w:rFonts w:ascii="宋体" w:hAnsi="宋体" w:eastAsia="宋体"/>
          <w:b w:val="0"/>
          <w:sz w:val="21"/>
        </w:rPr>
        <w:t>必须补齐：①六项题目性能原始数据与对应视频；②车体尺寸、摆杆长度与h≥5 cm照片；③图传接收端位于赛道外的全景证据；④最终BOM、原理图/接线图编号和固件哈希；⑤三次以上重复测试的最大误差而非仅填最好成绩。</w:t>
      </w:r>
    </w:p>
    <w:sectPr w:rsidR="00FC693F" w:rsidRPr="0006063C" w:rsidSect="00034616">
      <w:footerReference w:type="default" r:id="rId9"/>
      <w:pgSz w:w="11906" w:h="16838"/>
      <w:pgMar w:top="1020" w:right="1191" w:bottom="1020" w:left="1191" w:header="454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宋体" w:hAnsi="宋体" w:eastAsia="宋体"/>
        <w:sz w:val="21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