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743" w:rsidRPr="00B72A19" w:rsidRDefault="00577CAB" w:rsidP="00A15FAC">
      <w:pPr>
        <w:pStyle w:val="Heading2"/>
        <w:jc w:val="center"/>
        <w:rPr>
          <w:rFonts w:ascii="Verdana" w:hAnsi="Verdana"/>
          <w:i w:val="0"/>
          <w:sz w:val="36"/>
          <w:szCs w:val="36"/>
        </w:rPr>
      </w:pPr>
      <w:r>
        <w:rPr>
          <w:rFonts w:ascii="Verdana" w:hAnsi="Verdana"/>
          <w:i w:val="0"/>
          <w:sz w:val="36"/>
          <w:szCs w:val="36"/>
        </w:rPr>
        <w:t xml:space="preserve">Thomson Deals Business Intelligence </w:t>
      </w:r>
      <w:r w:rsidR="007E74DE" w:rsidRPr="00577CAB">
        <w:rPr>
          <w:rFonts w:ascii="Verdana" w:hAnsi="Verdana"/>
          <w:i w:val="0"/>
          <w:sz w:val="36"/>
          <w:szCs w:val="36"/>
        </w:rPr>
        <w:t>Percentage and Ranking Calculation</w:t>
      </w:r>
    </w:p>
    <w:p w:rsidR="00984914" w:rsidRDefault="00984914" w:rsidP="008338EC">
      <w:pPr>
        <w:jc w:val="center"/>
        <w:rPr>
          <w:rFonts w:ascii="Arial" w:hAnsi="Arial" w:cs="Arial"/>
          <w:i/>
          <w:sz w:val="22"/>
        </w:rPr>
      </w:pPr>
    </w:p>
    <w:p w:rsidR="00113457" w:rsidRPr="008338EC" w:rsidRDefault="008338EC" w:rsidP="008338EC">
      <w:pPr>
        <w:jc w:val="center"/>
        <w:rPr>
          <w:rFonts w:ascii="Arial" w:hAnsi="Arial" w:cs="Arial"/>
          <w:i/>
          <w:sz w:val="22"/>
        </w:rPr>
      </w:pPr>
      <w:r w:rsidRPr="008338EC">
        <w:rPr>
          <w:rFonts w:ascii="Arial" w:hAnsi="Arial" w:cs="Arial"/>
          <w:i/>
          <w:sz w:val="22"/>
        </w:rPr>
        <w:t>By</w:t>
      </w:r>
      <w:r w:rsidR="007E74DE">
        <w:rPr>
          <w:rFonts w:ascii="Arial" w:hAnsi="Arial" w:cs="Arial"/>
          <w:i/>
          <w:sz w:val="22"/>
        </w:rPr>
        <w:t xml:space="preserve"> </w:t>
      </w:r>
      <w:r w:rsidRPr="008338EC">
        <w:rPr>
          <w:rFonts w:ascii="Arial" w:hAnsi="Arial" w:cs="Arial"/>
          <w:i/>
          <w:sz w:val="22"/>
        </w:rPr>
        <w:t>Chris</w:t>
      </w:r>
      <w:r w:rsidR="006A6D3B">
        <w:rPr>
          <w:rFonts w:ascii="Arial" w:hAnsi="Arial" w:cs="Arial"/>
          <w:i/>
          <w:sz w:val="22"/>
        </w:rPr>
        <w:t xml:space="preserve"> Zhao</w:t>
      </w:r>
    </w:p>
    <w:p w:rsidR="008338EC" w:rsidRDefault="008338EC">
      <w:pPr>
        <w:rPr>
          <w:rFonts w:ascii="Arial" w:hAnsi="Arial" w:cs="Arial"/>
          <w:sz w:val="22"/>
        </w:rPr>
      </w:pPr>
    </w:p>
    <w:p w:rsidR="00573E29" w:rsidRDefault="005059AB" w:rsidP="005059AB">
      <w:pPr>
        <w:spacing w:line="312" w:lineRule="auto"/>
        <w:rPr>
          <w:rFonts w:ascii="Verdana" w:hAnsi="Verdana" w:cs="Arial"/>
          <w:sz w:val="22"/>
        </w:rPr>
      </w:pPr>
      <w:r w:rsidRPr="005059AB">
        <w:rPr>
          <w:rFonts w:ascii="Verdana" w:hAnsi="Verdana" w:cs="Arial"/>
          <w:sz w:val="22"/>
        </w:rPr>
        <w:t xml:space="preserve">In </w:t>
      </w:r>
      <w:r>
        <w:rPr>
          <w:rFonts w:ascii="Verdana" w:hAnsi="Verdana" w:cs="Arial"/>
          <w:sz w:val="22"/>
        </w:rPr>
        <w:t>mathematics</w:t>
      </w:r>
      <w:r w:rsidRPr="005059AB">
        <w:rPr>
          <w:rFonts w:ascii="Verdana" w:hAnsi="Verdana" w:cs="Arial"/>
          <w:sz w:val="22"/>
        </w:rPr>
        <w:t xml:space="preserve">, percentage calculation is </w:t>
      </w:r>
      <w:r w:rsidR="00573E29">
        <w:rPr>
          <w:rFonts w:ascii="Verdana" w:hAnsi="Verdana" w:cs="Arial"/>
          <w:sz w:val="22"/>
        </w:rPr>
        <w:t>dependent not only on its case scenario, but also on its perspective</w:t>
      </w:r>
      <w:r w:rsidR="00133906">
        <w:rPr>
          <w:rFonts w:ascii="Verdana" w:hAnsi="Verdana" w:cs="Arial"/>
          <w:sz w:val="22"/>
        </w:rPr>
        <w:t xml:space="preserve">. </w:t>
      </w:r>
      <w:r w:rsidR="00573E29">
        <w:rPr>
          <w:rFonts w:ascii="Verdana" w:hAnsi="Verdana" w:cs="Arial"/>
          <w:sz w:val="22"/>
        </w:rPr>
        <w:t>A perspective represents the angle or the view you interpret the percentage.</w:t>
      </w:r>
    </w:p>
    <w:p w:rsidR="00573E29" w:rsidRDefault="00573E29" w:rsidP="005059AB">
      <w:pPr>
        <w:spacing w:line="312" w:lineRule="auto"/>
        <w:rPr>
          <w:rFonts w:ascii="Verdana" w:hAnsi="Verdana" w:cs="Arial"/>
          <w:sz w:val="22"/>
        </w:rPr>
      </w:pPr>
    </w:p>
    <w:p w:rsidR="005059AB" w:rsidRDefault="005059AB" w:rsidP="005059AB">
      <w:pPr>
        <w:spacing w:line="312" w:lineRule="auto"/>
        <w:rPr>
          <w:rFonts w:ascii="Verdana" w:hAnsi="Verdana" w:cs="Arial"/>
          <w:sz w:val="22"/>
        </w:rPr>
      </w:pPr>
      <w:r>
        <w:rPr>
          <w:rFonts w:ascii="Verdana" w:hAnsi="Verdana" w:cs="Arial"/>
          <w:sz w:val="22"/>
        </w:rPr>
        <w:t xml:space="preserve">Let us use </w:t>
      </w:r>
      <w:r w:rsidRPr="005059AB">
        <w:rPr>
          <w:rFonts w:ascii="Verdana" w:hAnsi="Verdana" w:cs="Arial"/>
          <w:sz w:val="22"/>
        </w:rPr>
        <w:t xml:space="preserve">a simple example </w:t>
      </w:r>
      <w:r>
        <w:rPr>
          <w:rFonts w:ascii="Verdana" w:hAnsi="Verdana" w:cs="Arial"/>
          <w:sz w:val="22"/>
        </w:rPr>
        <w:t xml:space="preserve">to illustrate the points. </w:t>
      </w:r>
      <w:r w:rsidR="00980B85">
        <w:rPr>
          <w:rFonts w:ascii="Verdana" w:hAnsi="Verdana" w:cs="Arial"/>
          <w:sz w:val="22"/>
        </w:rPr>
        <w:t xml:space="preserve">Suppose </w:t>
      </w:r>
      <w:r w:rsidRPr="005059AB">
        <w:rPr>
          <w:rFonts w:ascii="Verdana" w:hAnsi="Verdana" w:cs="Arial"/>
          <w:sz w:val="22"/>
        </w:rPr>
        <w:t xml:space="preserve">we </w:t>
      </w:r>
      <w:r>
        <w:rPr>
          <w:rFonts w:ascii="Verdana" w:hAnsi="Verdana" w:cs="Arial"/>
          <w:sz w:val="22"/>
        </w:rPr>
        <w:t xml:space="preserve">want to calculate </w:t>
      </w:r>
      <w:r w:rsidR="00980B85">
        <w:rPr>
          <w:rFonts w:ascii="Verdana" w:hAnsi="Verdana" w:cs="Arial"/>
          <w:sz w:val="22"/>
        </w:rPr>
        <w:t xml:space="preserve">gender ratio among </w:t>
      </w:r>
      <w:r w:rsidRPr="005059AB">
        <w:rPr>
          <w:rFonts w:ascii="Verdana" w:hAnsi="Verdana" w:cs="Arial"/>
          <w:sz w:val="22"/>
        </w:rPr>
        <w:t>working professionals</w:t>
      </w:r>
      <w:r w:rsidR="00980B85">
        <w:rPr>
          <w:rFonts w:ascii="Verdana" w:hAnsi="Verdana" w:cs="Arial"/>
          <w:sz w:val="22"/>
        </w:rPr>
        <w:t xml:space="preserve">. Specifically we want to calculate </w:t>
      </w:r>
      <w:r w:rsidR="00980B85" w:rsidRPr="005059AB">
        <w:rPr>
          <w:rFonts w:ascii="Verdana" w:hAnsi="Verdana" w:cs="Arial"/>
          <w:sz w:val="22"/>
        </w:rPr>
        <w:t>female percentage of working professionals</w:t>
      </w:r>
      <w:r w:rsidR="00980B85">
        <w:rPr>
          <w:rFonts w:ascii="Verdana" w:hAnsi="Verdana" w:cs="Arial"/>
          <w:sz w:val="22"/>
        </w:rPr>
        <w:t xml:space="preserve">. Assume </w:t>
      </w:r>
      <w:r>
        <w:rPr>
          <w:rFonts w:ascii="Verdana" w:hAnsi="Verdana" w:cs="Arial"/>
          <w:sz w:val="22"/>
        </w:rPr>
        <w:t xml:space="preserve">the dimensions (parameters) that </w:t>
      </w:r>
      <w:r w:rsidRPr="005059AB">
        <w:rPr>
          <w:rFonts w:ascii="Verdana" w:hAnsi="Verdana" w:cs="Arial"/>
          <w:sz w:val="22"/>
        </w:rPr>
        <w:t xml:space="preserve">we are looking at </w:t>
      </w:r>
      <w:r>
        <w:rPr>
          <w:rFonts w:ascii="Verdana" w:hAnsi="Verdana" w:cs="Arial"/>
          <w:sz w:val="22"/>
        </w:rPr>
        <w:t xml:space="preserve">include </w:t>
      </w:r>
      <w:r w:rsidRPr="005059AB">
        <w:rPr>
          <w:rFonts w:ascii="Verdana" w:hAnsi="Verdana" w:cs="Arial"/>
          <w:sz w:val="22"/>
        </w:rPr>
        <w:t xml:space="preserve">States / Cities, Industries, Job functions, and Employers. </w:t>
      </w:r>
    </w:p>
    <w:p w:rsidR="005059AB" w:rsidRDefault="005059AB" w:rsidP="005059AB">
      <w:pPr>
        <w:spacing w:line="312" w:lineRule="auto"/>
        <w:rPr>
          <w:rFonts w:ascii="Verdana" w:hAnsi="Verdana" w:cs="Arial"/>
          <w:sz w:val="22"/>
        </w:rPr>
      </w:pPr>
    </w:p>
    <w:p w:rsidR="00980B85" w:rsidRDefault="00980B85" w:rsidP="005059AB">
      <w:pPr>
        <w:spacing w:line="312" w:lineRule="auto"/>
        <w:rPr>
          <w:rFonts w:ascii="Verdana" w:hAnsi="Verdana" w:cs="Arial"/>
          <w:sz w:val="22"/>
        </w:rPr>
      </w:pPr>
      <w:r>
        <w:rPr>
          <w:rFonts w:ascii="Verdana" w:hAnsi="Verdana" w:cs="Arial"/>
          <w:sz w:val="22"/>
        </w:rPr>
        <w:t>Le</w:t>
      </w:r>
      <w:r w:rsidR="00577CAB">
        <w:rPr>
          <w:rFonts w:ascii="Verdana" w:hAnsi="Verdana" w:cs="Arial"/>
          <w:sz w:val="22"/>
        </w:rPr>
        <w:t>t us say, you are reviewing the</w:t>
      </w:r>
      <w:r>
        <w:rPr>
          <w:rFonts w:ascii="Verdana" w:hAnsi="Verdana" w:cs="Arial"/>
          <w:sz w:val="22"/>
        </w:rPr>
        <w:t xml:space="preserve"> percentage data, and you pull States into your rows and </w:t>
      </w:r>
      <w:r w:rsidRPr="005059AB">
        <w:rPr>
          <w:rFonts w:ascii="Verdana" w:hAnsi="Verdana" w:cs="Arial"/>
          <w:sz w:val="22"/>
        </w:rPr>
        <w:t>Industries</w:t>
      </w:r>
      <w:r>
        <w:rPr>
          <w:rFonts w:ascii="Verdana" w:hAnsi="Verdana" w:cs="Arial"/>
          <w:sz w:val="22"/>
        </w:rPr>
        <w:t xml:space="preserve"> into your columns. You locate the cell at the intersection with Row = ‘NY’ and Column = ‘Financial’, and you see the value at the cell is 35%.</w:t>
      </w:r>
    </w:p>
    <w:p w:rsidR="00980B85" w:rsidRDefault="00980B85" w:rsidP="005059AB">
      <w:pPr>
        <w:spacing w:line="312" w:lineRule="auto"/>
        <w:rPr>
          <w:rFonts w:ascii="Verdana" w:hAnsi="Verdana" w:cs="Arial"/>
          <w:sz w:val="22"/>
        </w:rPr>
      </w:pPr>
    </w:p>
    <w:p w:rsidR="00980B85" w:rsidRDefault="00980B85" w:rsidP="005059AB">
      <w:pPr>
        <w:spacing w:line="312" w:lineRule="auto"/>
        <w:rPr>
          <w:rFonts w:ascii="Verdana" w:hAnsi="Verdana" w:cs="Arial"/>
          <w:sz w:val="22"/>
        </w:rPr>
      </w:pPr>
      <w:r>
        <w:rPr>
          <w:rFonts w:ascii="Verdana" w:hAnsi="Verdana" w:cs="Arial"/>
          <w:sz w:val="22"/>
        </w:rPr>
        <w:t xml:space="preserve">There will be at least three different </w:t>
      </w:r>
      <w:r w:rsidR="00133906">
        <w:rPr>
          <w:rFonts w:ascii="Verdana" w:hAnsi="Verdana" w:cs="Arial"/>
          <w:sz w:val="22"/>
        </w:rPr>
        <w:t xml:space="preserve">perspectives </w:t>
      </w:r>
      <w:r>
        <w:rPr>
          <w:rFonts w:ascii="Verdana" w:hAnsi="Verdana" w:cs="Arial"/>
          <w:sz w:val="22"/>
        </w:rPr>
        <w:t xml:space="preserve">to </w:t>
      </w:r>
      <w:r w:rsidR="005059AB" w:rsidRPr="005059AB">
        <w:rPr>
          <w:rFonts w:ascii="Verdana" w:hAnsi="Verdana" w:cs="Arial"/>
          <w:sz w:val="22"/>
        </w:rPr>
        <w:t xml:space="preserve">interpret </w:t>
      </w:r>
      <w:r>
        <w:rPr>
          <w:rFonts w:ascii="Verdana" w:hAnsi="Verdana" w:cs="Arial"/>
          <w:sz w:val="22"/>
        </w:rPr>
        <w:t>th</w:t>
      </w:r>
      <w:r w:rsidR="00133906">
        <w:rPr>
          <w:rFonts w:ascii="Verdana" w:hAnsi="Verdana" w:cs="Arial"/>
          <w:sz w:val="22"/>
        </w:rPr>
        <w:t>is</w:t>
      </w:r>
      <w:r>
        <w:rPr>
          <w:rFonts w:ascii="Verdana" w:hAnsi="Verdana" w:cs="Arial"/>
          <w:sz w:val="22"/>
        </w:rPr>
        <w:t xml:space="preserve"> percentage:</w:t>
      </w:r>
    </w:p>
    <w:p w:rsidR="00980B85" w:rsidRDefault="00980B85" w:rsidP="005059AB">
      <w:pPr>
        <w:spacing w:line="312" w:lineRule="auto"/>
        <w:rPr>
          <w:rFonts w:ascii="Verdana" w:hAnsi="Verdana" w:cs="Arial"/>
          <w:sz w:val="22"/>
        </w:rPr>
      </w:pPr>
    </w:p>
    <w:p w:rsidR="00980B85" w:rsidRPr="00306685" w:rsidRDefault="00980B85" w:rsidP="00306685">
      <w:pPr>
        <w:pStyle w:val="ListParagraph"/>
        <w:numPr>
          <w:ilvl w:val="0"/>
          <w:numId w:val="28"/>
        </w:numPr>
        <w:spacing w:line="312" w:lineRule="auto"/>
        <w:rPr>
          <w:rFonts w:ascii="Verdana" w:hAnsi="Verdana" w:cs="Arial"/>
        </w:rPr>
      </w:pPr>
      <w:r w:rsidRPr="00306685">
        <w:rPr>
          <w:rFonts w:ascii="Verdana" w:hAnsi="Verdana" w:cs="Arial"/>
        </w:rPr>
        <w:t xml:space="preserve">the ratio of </w:t>
      </w:r>
      <w:r w:rsidR="005059AB" w:rsidRPr="00306685">
        <w:rPr>
          <w:rFonts w:ascii="Verdana" w:hAnsi="Verdana" w:cs="Arial"/>
        </w:rPr>
        <w:t>female working professionals in NY state and in Financial industry across all of the state</w:t>
      </w:r>
      <w:r w:rsidRPr="00306685">
        <w:rPr>
          <w:rFonts w:ascii="Verdana" w:hAnsi="Verdana" w:cs="Arial"/>
        </w:rPr>
        <w:t>s and all of the industries;</w:t>
      </w:r>
    </w:p>
    <w:p w:rsidR="00980B85" w:rsidRPr="00306685" w:rsidRDefault="005059AB" w:rsidP="00306685">
      <w:pPr>
        <w:pStyle w:val="ListParagraph"/>
        <w:numPr>
          <w:ilvl w:val="0"/>
          <w:numId w:val="28"/>
        </w:numPr>
        <w:spacing w:line="312" w:lineRule="auto"/>
        <w:rPr>
          <w:rFonts w:ascii="Verdana" w:hAnsi="Verdana" w:cs="Arial"/>
        </w:rPr>
      </w:pPr>
      <w:r w:rsidRPr="00306685">
        <w:rPr>
          <w:rFonts w:ascii="Verdana" w:hAnsi="Verdana" w:cs="Arial"/>
        </w:rPr>
        <w:t>the ratio of  fema</w:t>
      </w:r>
      <w:r w:rsidRPr="00306685">
        <w:rPr>
          <w:rFonts w:ascii="Verdana" w:hAnsi="Verdana" w:cs="Arial" w:hint="eastAsia"/>
        </w:rPr>
        <w:t>le working professionals in NY state and in Financial industry across all of</w:t>
      </w:r>
      <w:r w:rsidR="00980B85" w:rsidRPr="00306685">
        <w:rPr>
          <w:rFonts w:ascii="Verdana" w:hAnsi="Verdana" w:cs="Arial" w:hint="eastAsia"/>
        </w:rPr>
        <w:t xml:space="preserve"> the industries in NY state</w:t>
      </w:r>
      <w:r w:rsidR="00980B85" w:rsidRPr="00306685">
        <w:rPr>
          <w:rFonts w:ascii="Verdana" w:hAnsi="Verdana" w:cs="Arial"/>
        </w:rPr>
        <w:t>;</w:t>
      </w:r>
    </w:p>
    <w:p w:rsidR="005059AB" w:rsidRPr="00306685" w:rsidRDefault="005059AB" w:rsidP="00306685">
      <w:pPr>
        <w:pStyle w:val="ListParagraph"/>
        <w:numPr>
          <w:ilvl w:val="0"/>
          <w:numId w:val="28"/>
        </w:numPr>
        <w:spacing w:line="312" w:lineRule="auto"/>
        <w:rPr>
          <w:rFonts w:ascii="Verdana" w:hAnsi="Verdana" w:cs="Arial"/>
        </w:rPr>
      </w:pPr>
      <w:r w:rsidRPr="00306685">
        <w:rPr>
          <w:rFonts w:ascii="Verdana" w:hAnsi="Verdana" w:cs="Arial" w:hint="eastAsia"/>
        </w:rPr>
        <w:t>the ratio of  female working professionals in NY state and in Financial industry across all of the states in Financial industry</w:t>
      </w:r>
    </w:p>
    <w:p w:rsidR="005059AB" w:rsidRDefault="005059AB" w:rsidP="005059AB">
      <w:pPr>
        <w:spacing w:line="312" w:lineRule="auto"/>
        <w:rPr>
          <w:rFonts w:ascii="Verdana" w:hAnsi="Verdana" w:cs="Arial"/>
          <w:sz w:val="22"/>
        </w:rPr>
      </w:pPr>
    </w:p>
    <w:p w:rsidR="00DE30C3" w:rsidRDefault="00DE30C3" w:rsidP="00DE30C3">
      <w:pPr>
        <w:spacing w:line="312" w:lineRule="auto"/>
        <w:rPr>
          <w:rFonts w:ascii="Verdana" w:hAnsi="Verdana" w:cs="Arial"/>
          <w:sz w:val="22"/>
        </w:rPr>
      </w:pPr>
      <w:r>
        <w:rPr>
          <w:rFonts w:ascii="Verdana" w:hAnsi="Verdana" w:cs="Arial"/>
          <w:sz w:val="22"/>
        </w:rPr>
        <w:t xml:space="preserve">Generally speaking, these three percentages should have different values, because they are logically different, even if sometimes they may coincide with each other. There wouldn’t be a single formula that meets all the three </w:t>
      </w:r>
      <w:r w:rsidR="00FA6507">
        <w:rPr>
          <w:rFonts w:ascii="Verdana" w:hAnsi="Verdana" w:cs="Arial"/>
          <w:sz w:val="22"/>
        </w:rPr>
        <w:t>different logics</w:t>
      </w:r>
      <w:r>
        <w:rPr>
          <w:rFonts w:ascii="Verdana" w:hAnsi="Verdana" w:cs="Arial"/>
          <w:sz w:val="22"/>
        </w:rPr>
        <w:t xml:space="preserve">. </w:t>
      </w:r>
      <w:r w:rsidR="00FA6507">
        <w:rPr>
          <w:rFonts w:ascii="Verdana" w:hAnsi="Verdana" w:cs="Arial"/>
          <w:sz w:val="22"/>
        </w:rPr>
        <w:t>If one formula is</w:t>
      </w:r>
      <w:r w:rsidR="00133906">
        <w:rPr>
          <w:rFonts w:ascii="Verdana" w:hAnsi="Verdana" w:cs="Arial"/>
          <w:sz w:val="22"/>
        </w:rPr>
        <w:t xml:space="preserve"> defined based on one perspective, and your expectation falls into a different perspective</w:t>
      </w:r>
      <w:r w:rsidR="00FA6507">
        <w:rPr>
          <w:rFonts w:ascii="Verdana" w:hAnsi="Verdana" w:cs="Arial"/>
          <w:sz w:val="22"/>
        </w:rPr>
        <w:t xml:space="preserve">, </w:t>
      </w:r>
      <w:r w:rsidR="00306685">
        <w:rPr>
          <w:rFonts w:ascii="Verdana" w:hAnsi="Verdana" w:cs="Arial"/>
          <w:sz w:val="22"/>
        </w:rPr>
        <w:t>you will see that the percentage doesn’t look right.</w:t>
      </w:r>
    </w:p>
    <w:p w:rsidR="00980B85" w:rsidRPr="005059AB" w:rsidRDefault="00980B85" w:rsidP="005059AB">
      <w:pPr>
        <w:spacing w:line="312" w:lineRule="auto"/>
        <w:rPr>
          <w:rFonts w:ascii="Verdana" w:hAnsi="Verdana" w:cs="Arial"/>
          <w:sz w:val="22"/>
        </w:rPr>
      </w:pPr>
    </w:p>
    <w:p w:rsidR="00FA6507" w:rsidRDefault="005059AB" w:rsidP="005059AB">
      <w:pPr>
        <w:spacing w:line="312" w:lineRule="auto"/>
        <w:rPr>
          <w:rFonts w:ascii="Verdana" w:hAnsi="Verdana" w:cs="Arial"/>
          <w:sz w:val="22"/>
        </w:rPr>
      </w:pPr>
      <w:r w:rsidRPr="005059AB">
        <w:rPr>
          <w:rFonts w:ascii="Verdana" w:hAnsi="Verdana" w:cs="Arial"/>
          <w:sz w:val="22"/>
        </w:rPr>
        <w:t>To make the matter more complicated, if you filter by states and indu</w:t>
      </w:r>
      <w:r w:rsidR="00306685">
        <w:rPr>
          <w:rFonts w:ascii="Verdana" w:hAnsi="Verdana" w:cs="Arial"/>
          <w:sz w:val="22"/>
        </w:rPr>
        <w:t>stries, and only choose two states – say NY and NJ - for rows</w:t>
      </w:r>
      <w:r w:rsidR="00FA6507">
        <w:rPr>
          <w:rFonts w:ascii="Verdana" w:hAnsi="Verdana" w:cs="Arial"/>
          <w:sz w:val="22"/>
        </w:rPr>
        <w:t xml:space="preserve">, and </w:t>
      </w:r>
      <w:r w:rsidR="00306685">
        <w:rPr>
          <w:rFonts w:ascii="Verdana" w:hAnsi="Verdana" w:cs="Arial"/>
          <w:sz w:val="22"/>
        </w:rPr>
        <w:t xml:space="preserve">two industries – say </w:t>
      </w:r>
      <w:r w:rsidR="00FA6507">
        <w:rPr>
          <w:rFonts w:ascii="Verdana" w:hAnsi="Verdana" w:cs="Arial"/>
          <w:sz w:val="22"/>
        </w:rPr>
        <w:lastRenderedPageBreak/>
        <w:t xml:space="preserve">Financial </w:t>
      </w:r>
      <w:r w:rsidRPr="005059AB">
        <w:rPr>
          <w:rFonts w:ascii="Verdana" w:hAnsi="Verdana" w:cs="Arial"/>
          <w:sz w:val="22"/>
        </w:rPr>
        <w:t xml:space="preserve">and Health </w:t>
      </w:r>
      <w:r w:rsidR="00306685">
        <w:rPr>
          <w:rFonts w:ascii="Verdana" w:hAnsi="Verdana" w:cs="Arial"/>
          <w:sz w:val="22"/>
        </w:rPr>
        <w:t>- for columns</w:t>
      </w:r>
      <w:r w:rsidRPr="005059AB">
        <w:rPr>
          <w:rFonts w:ascii="Verdana" w:hAnsi="Verdana" w:cs="Arial"/>
          <w:sz w:val="22"/>
        </w:rPr>
        <w:t>, then</w:t>
      </w:r>
      <w:r w:rsidR="00306685">
        <w:rPr>
          <w:rFonts w:ascii="Verdana" w:hAnsi="Verdana" w:cs="Arial"/>
          <w:sz w:val="22"/>
        </w:rPr>
        <w:t xml:space="preserve"> you will have </w:t>
      </w:r>
      <w:r w:rsidR="00133906">
        <w:rPr>
          <w:rFonts w:ascii="Verdana" w:hAnsi="Verdana" w:cs="Arial"/>
          <w:sz w:val="22"/>
        </w:rPr>
        <w:t xml:space="preserve">another </w:t>
      </w:r>
      <w:r w:rsidR="00306685">
        <w:rPr>
          <w:rFonts w:ascii="Verdana" w:hAnsi="Verdana" w:cs="Arial"/>
          <w:sz w:val="22"/>
        </w:rPr>
        <w:t xml:space="preserve">three </w:t>
      </w:r>
      <w:r w:rsidR="00133906">
        <w:rPr>
          <w:rFonts w:ascii="Verdana" w:hAnsi="Verdana" w:cs="Arial"/>
          <w:sz w:val="22"/>
        </w:rPr>
        <w:t>perspectives of interpretation in addition to the three perspectives described above:</w:t>
      </w:r>
    </w:p>
    <w:p w:rsidR="00306685" w:rsidRDefault="00306685" w:rsidP="005059AB">
      <w:pPr>
        <w:spacing w:line="312" w:lineRule="auto"/>
        <w:rPr>
          <w:rFonts w:ascii="Verdana" w:hAnsi="Verdana" w:cs="Arial"/>
          <w:sz w:val="22"/>
        </w:rPr>
      </w:pPr>
    </w:p>
    <w:p w:rsidR="00306685" w:rsidRPr="00306685" w:rsidRDefault="00306685" w:rsidP="00306685">
      <w:pPr>
        <w:pStyle w:val="ListParagraph"/>
        <w:numPr>
          <w:ilvl w:val="0"/>
          <w:numId w:val="29"/>
        </w:numPr>
        <w:spacing w:line="312" w:lineRule="auto"/>
        <w:rPr>
          <w:rFonts w:ascii="Verdana" w:hAnsi="Verdana" w:cs="Arial"/>
        </w:rPr>
      </w:pPr>
      <w:r w:rsidRPr="00306685">
        <w:rPr>
          <w:rFonts w:ascii="Verdana" w:hAnsi="Verdana" w:cs="Arial"/>
        </w:rPr>
        <w:t>the ratio of female working professionals in NY state and in Financial industry across the two states and the two industries selected;</w:t>
      </w:r>
    </w:p>
    <w:p w:rsidR="00306685" w:rsidRPr="00306685" w:rsidRDefault="00306685" w:rsidP="00306685">
      <w:pPr>
        <w:pStyle w:val="ListParagraph"/>
        <w:numPr>
          <w:ilvl w:val="0"/>
          <w:numId w:val="29"/>
        </w:numPr>
        <w:spacing w:line="312" w:lineRule="auto"/>
        <w:rPr>
          <w:rFonts w:ascii="Verdana" w:hAnsi="Verdana" w:cs="Arial"/>
        </w:rPr>
      </w:pPr>
      <w:r w:rsidRPr="00306685">
        <w:rPr>
          <w:rFonts w:ascii="Verdana" w:hAnsi="Verdana" w:cs="Arial"/>
        </w:rPr>
        <w:t>the ratio of  fema</w:t>
      </w:r>
      <w:r w:rsidRPr="00306685">
        <w:rPr>
          <w:rFonts w:ascii="Verdana" w:hAnsi="Verdana" w:cs="Arial" w:hint="eastAsia"/>
        </w:rPr>
        <w:t xml:space="preserve">le working professionals in NY state and in Financial industry across the </w:t>
      </w:r>
      <w:r w:rsidRPr="00306685">
        <w:rPr>
          <w:rFonts w:ascii="Verdana" w:hAnsi="Verdana" w:cs="Arial"/>
        </w:rPr>
        <w:t xml:space="preserve">two </w:t>
      </w:r>
      <w:r w:rsidRPr="00306685">
        <w:rPr>
          <w:rFonts w:ascii="Verdana" w:hAnsi="Verdana" w:cs="Arial" w:hint="eastAsia"/>
        </w:rPr>
        <w:t>industries in NY state</w:t>
      </w:r>
      <w:r w:rsidRPr="00306685">
        <w:rPr>
          <w:rFonts w:ascii="Verdana" w:hAnsi="Verdana" w:cs="Arial"/>
        </w:rPr>
        <w:t>;</w:t>
      </w:r>
    </w:p>
    <w:p w:rsidR="00306685" w:rsidRPr="00306685" w:rsidRDefault="00306685" w:rsidP="00306685">
      <w:pPr>
        <w:pStyle w:val="ListParagraph"/>
        <w:numPr>
          <w:ilvl w:val="0"/>
          <w:numId w:val="29"/>
        </w:numPr>
        <w:spacing w:line="312" w:lineRule="auto"/>
        <w:rPr>
          <w:rFonts w:ascii="Verdana" w:hAnsi="Verdana" w:cs="Arial"/>
        </w:rPr>
      </w:pPr>
      <w:r w:rsidRPr="00306685">
        <w:rPr>
          <w:rFonts w:ascii="Verdana" w:hAnsi="Verdana" w:cs="Arial" w:hint="eastAsia"/>
        </w:rPr>
        <w:t>the ratio of  female working professionals in NY state and in Financial industry across</w:t>
      </w:r>
      <w:r w:rsidRPr="00306685">
        <w:rPr>
          <w:rFonts w:ascii="Verdana" w:hAnsi="Verdana" w:cs="Arial"/>
        </w:rPr>
        <w:t xml:space="preserve"> </w:t>
      </w:r>
      <w:r w:rsidRPr="00306685">
        <w:rPr>
          <w:rFonts w:ascii="Verdana" w:hAnsi="Verdana" w:cs="Arial" w:hint="eastAsia"/>
        </w:rPr>
        <w:t xml:space="preserve">the </w:t>
      </w:r>
      <w:r w:rsidRPr="00306685">
        <w:rPr>
          <w:rFonts w:ascii="Verdana" w:hAnsi="Verdana" w:cs="Arial"/>
        </w:rPr>
        <w:t xml:space="preserve">two </w:t>
      </w:r>
      <w:r w:rsidRPr="00306685">
        <w:rPr>
          <w:rFonts w:ascii="Verdana" w:hAnsi="Verdana" w:cs="Arial" w:hint="eastAsia"/>
        </w:rPr>
        <w:t>states in Financial industry</w:t>
      </w:r>
    </w:p>
    <w:p w:rsidR="00306685" w:rsidRDefault="00306685" w:rsidP="005059AB">
      <w:pPr>
        <w:spacing w:line="312" w:lineRule="auto"/>
        <w:rPr>
          <w:rFonts w:ascii="Verdana" w:hAnsi="Verdana" w:cs="Arial"/>
          <w:sz w:val="22"/>
        </w:rPr>
      </w:pPr>
    </w:p>
    <w:p w:rsidR="008519E5" w:rsidRDefault="004D33A1" w:rsidP="005059AB">
      <w:pPr>
        <w:spacing w:line="312" w:lineRule="auto"/>
        <w:rPr>
          <w:rFonts w:ascii="Verdana" w:hAnsi="Verdana" w:cs="Arial"/>
          <w:sz w:val="22"/>
        </w:rPr>
      </w:pPr>
      <w:r>
        <w:rPr>
          <w:rFonts w:ascii="Verdana" w:hAnsi="Verdana" w:cs="Arial"/>
          <w:sz w:val="22"/>
        </w:rPr>
        <w:t xml:space="preserve">Currently, the </w:t>
      </w:r>
      <w:r w:rsidR="008519E5">
        <w:rPr>
          <w:rFonts w:ascii="Verdana" w:hAnsi="Verdana" w:cs="Arial"/>
          <w:sz w:val="22"/>
        </w:rPr>
        <w:t>existing set of SOW and Market Share in Production follows the original definition</w:t>
      </w:r>
      <w:r w:rsidR="00133906">
        <w:rPr>
          <w:rFonts w:ascii="Verdana" w:hAnsi="Verdana" w:cs="Arial"/>
          <w:sz w:val="22"/>
        </w:rPr>
        <w:t xml:space="preserve"> of perspective</w:t>
      </w:r>
      <w:r w:rsidR="008519E5">
        <w:rPr>
          <w:rFonts w:ascii="Verdana" w:hAnsi="Verdana" w:cs="Arial"/>
          <w:sz w:val="22"/>
        </w:rPr>
        <w:t>. Their names are listed below.</w:t>
      </w:r>
    </w:p>
    <w:p w:rsidR="004D33A1" w:rsidRDefault="004D33A1" w:rsidP="005059AB">
      <w:pPr>
        <w:spacing w:line="312" w:lineRule="auto"/>
        <w:rPr>
          <w:rFonts w:ascii="Verdana" w:hAnsi="Verdana" w:cs="Arial"/>
          <w:sz w:val="22"/>
        </w:rPr>
      </w:pPr>
    </w:p>
    <w:p w:rsidR="00A943F0" w:rsidRPr="00CB081D" w:rsidRDefault="00A943F0" w:rsidP="008519E5">
      <w:pPr>
        <w:pStyle w:val="ListParagraph"/>
        <w:numPr>
          <w:ilvl w:val="0"/>
          <w:numId w:val="30"/>
        </w:numPr>
        <w:spacing w:line="312" w:lineRule="auto"/>
        <w:rPr>
          <w:rFonts w:ascii="Courier New" w:hAnsi="Courier New" w:cs="Courier New"/>
          <w:sz w:val="20"/>
        </w:rPr>
      </w:pPr>
      <w:r w:rsidRPr="00CB081D">
        <w:rPr>
          <w:rFonts w:ascii="Courier New" w:hAnsi="Courier New" w:cs="Courier New"/>
          <w:sz w:val="20"/>
        </w:rPr>
        <w:t>[Share Of Wallet  (Must be used with Dimension Bank - Bank Name)]</w:t>
      </w:r>
    </w:p>
    <w:p w:rsidR="00A943F0" w:rsidRPr="00CB081D" w:rsidRDefault="00A943F0" w:rsidP="008519E5">
      <w:pPr>
        <w:pStyle w:val="ListParagraph"/>
        <w:numPr>
          <w:ilvl w:val="0"/>
          <w:numId w:val="30"/>
        </w:numPr>
        <w:spacing w:line="312" w:lineRule="auto"/>
        <w:rPr>
          <w:rFonts w:ascii="Courier New" w:hAnsi="Courier New" w:cs="Courier New"/>
          <w:sz w:val="20"/>
        </w:rPr>
      </w:pPr>
      <w:r w:rsidRPr="00CB081D">
        <w:rPr>
          <w:rFonts w:ascii="Courier New" w:hAnsi="Courier New" w:cs="Courier New"/>
          <w:sz w:val="20"/>
        </w:rPr>
        <w:t>[Share Of Wallet EURO (Must be used with Dimension Bank - Bank Name)]</w:t>
      </w:r>
    </w:p>
    <w:p w:rsidR="00A943F0" w:rsidRPr="00CB081D" w:rsidRDefault="00A943F0" w:rsidP="008519E5">
      <w:pPr>
        <w:pStyle w:val="ListParagraph"/>
        <w:numPr>
          <w:ilvl w:val="0"/>
          <w:numId w:val="30"/>
        </w:numPr>
        <w:spacing w:line="312" w:lineRule="auto"/>
        <w:rPr>
          <w:rFonts w:ascii="Courier New" w:hAnsi="Courier New" w:cs="Courier New"/>
          <w:sz w:val="20"/>
        </w:rPr>
      </w:pPr>
      <w:r w:rsidRPr="00CB081D">
        <w:rPr>
          <w:rFonts w:ascii="Courier New" w:hAnsi="Courier New" w:cs="Courier New"/>
          <w:sz w:val="20"/>
        </w:rPr>
        <w:t>[Share Of Wallet YEN (Must be used with Dimension Bank - Bank Name)]</w:t>
      </w:r>
    </w:p>
    <w:p w:rsidR="00A943F0" w:rsidRPr="00CB081D" w:rsidRDefault="00A943F0" w:rsidP="008519E5">
      <w:pPr>
        <w:pStyle w:val="ListParagraph"/>
        <w:numPr>
          <w:ilvl w:val="0"/>
          <w:numId w:val="30"/>
        </w:numPr>
        <w:spacing w:line="312" w:lineRule="auto"/>
        <w:rPr>
          <w:rFonts w:ascii="Courier New" w:hAnsi="Courier New" w:cs="Courier New"/>
          <w:sz w:val="20"/>
        </w:rPr>
      </w:pPr>
      <w:r w:rsidRPr="00CB081D">
        <w:rPr>
          <w:rFonts w:ascii="Courier New" w:hAnsi="Courier New" w:cs="Courier New"/>
          <w:sz w:val="20"/>
        </w:rPr>
        <w:t>[Share Of Wallet STG (Must be used with Dimension Bank - Bank Name)]</w:t>
      </w:r>
    </w:p>
    <w:p w:rsidR="00A943F0" w:rsidRPr="00CB081D" w:rsidRDefault="00A943F0" w:rsidP="008519E5">
      <w:pPr>
        <w:pStyle w:val="ListParagraph"/>
        <w:numPr>
          <w:ilvl w:val="0"/>
          <w:numId w:val="30"/>
        </w:numPr>
        <w:spacing w:line="312" w:lineRule="auto"/>
        <w:rPr>
          <w:rFonts w:ascii="Courier New" w:hAnsi="Courier New" w:cs="Courier New"/>
          <w:sz w:val="20"/>
        </w:rPr>
      </w:pPr>
      <w:r w:rsidRPr="00CB081D">
        <w:rPr>
          <w:rFonts w:ascii="Courier New" w:hAnsi="Courier New" w:cs="Courier New"/>
          <w:sz w:val="20"/>
        </w:rPr>
        <w:t>[Market Share  (Must be used with Dimension Bank - Bank Name)]</w:t>
      </w:r>
    </w:p>
    <w:p w:rsidR="00A943F0" w:rsidRPr="00CB081D" w:rsidRDefault="00A943F0" w:rsidP="008519E5">
      <w:pPr>
        <w:pStyle w:val="ListParagraph"/>
        <w:numPr>
          <w:ilvl w:val="0"/>
          <w:numId w:val="30"/>
        </w:numPr>
        <w:spacing w:line="312" w:lineRule="auto"/>
        <w:rPr>
          <w:rFonts w:ascii="Courier New" w:hAnsi="Courier New" w:cs="Courier New"/>
          <w:sz w:val="20"/>
        </w:rPr>
      </w:pPr>
      <w:r w:rsidRPr="00CB081D">
        <w:rPr>
          <w:rFonts w:ascii="Courier New" w:hAnsi="Courier New" w:cs="Courier New"/>
          <w:sz w:val="20"/>
        </w:rPr>
        <w:t>[Market Share EURO (Must be used with Dimension Bank - Bank Name)]</w:t>
      </w:r>
    </w:p>
    <w:p w:rsidR="00A943F0" w:rsidRPr="00CB081D" w:rsidRDefault="00A943F0" w:rsidP="008519E5">
      <w:pPr>
        <w:pStyle w:val="ListParagraph"/>
        <w:numPr>
          <w:ilvl w:val="0"/>
          <w:numId w:val="30"/>
        </w:numPr>
        <w:spacing w:line="312" w:lineRule="auto"/>
        <w:rPr>
          <w:rFonts w:ascii="Courier New" w:hAnsi="Courier New" w:cs="Courier New"/>
          <w:sz w:val="20"/>
        </w:rPr>
      </w:pPr>
      <w:r w:rsidRPr="00CB081D">
        <w:rPr>
          <w:rFonts w:ascii="Courier New" w:hAnsi="Courier New" w:cs="Courier New"/>
          <w:sz w:val="20"/>
        </w:rPr>
        <w:t>[Market Share YEN (Must be used with Dimension Bank - Bank Name)]</w:t>
      </w:r>
    </w:p>
    <w:p w:rsidR="00A943F0" w:rsidRDefault="00A943F0" w:rsidP="008519E5">
      <w:pPr>
        <w:pStyle w:val="ListParagraph"/>
        <w:numPr>
          <w:ilvl w:val="0"/>
          <w:numId w:val="30"/>
        </w:numPr>
        <w:spacing w:line="312" w:lineRule="auto"/>
        <w:rPr>
          <w:rFonts w:ascii="Courier New" w:hAnsi="Courier New" w:cs="Courier New"/>
          <w:sz w:val="20"/>
        </w:rPr>
      </w:pPr>
      <w:r w:rsidRPr="00CB081D">
        <w:rPr>
          <w:rFonts w:ascii="Courier New" w:hAnsi="Courier New" w:cs="Courier New"/>
          <w:sz w:val="20"/>
        </w:rPr>
        <w:t>[Market Share STG (Must be used with Dimension Bank - Bank Name)]</w:t>
      </w:r>
    </w:p>
    <w:p w:rsidR="00133906" w:rsidRDefault="00133906" w:rsidP="00133906">
      <w:pPr>
        <w:pStyle w:val="ListParagraph"/>
        <w:spacing w:line="312" w:lineRule="auto"/>
        <w:rPr>
          <w:rFonts w:ascii="Courier New" w:hAnsi="Courier New" w:cs="Courier New"/>
          <w:sz w:val="20"/>
        </w:rPr>
      </w:pPr>
    </w:p>
    <w:p w:rsidR="00635857" w:rsidRDefault="00AF0CFF" w:rsidP="00635857">
      <w:pPr>
        <w:spacing w:line="312" w:lineRule="auto"/>
        <w:rPr>
          <w:rFonts w:ascii="Verdana" w:hAnsi="Verdana" w:cs="Arial"/>
          <w:sz w:val="22"/>
        </w:rPr>
      </w:pPr>
      <w:r>
        <w:rPr>
          <w:rFonts w:ascii="Verdana" w:hAnsi="Verdana" w:cs="Arial"/>
          <w:sz w:val="22"/>
        </w:rPr>
        <w:t xml:space="preserve">The definition of these SOW% and Market Share </w:t>
      </w:r>
      <w:r w:rsidR="00635857">
        <w:rPr>
          <w:rFonts w:ascii="Verdana" w:hAnsi="Verdana" w:cs="Arial"/>
          <w:sz w:val="22"/>
        </w:rPr>
        <w:t xml:space="preserve">follow the same logic, </w:t>
      </w:r>
      <w:r>
        <w:rPr>
          <w:rFonts w:ascii="Verdana" w:hAnsi="Verdana" w:cs="Arial"/>
          <w:sz w:val="22"/>
        </w:rPr>
        <w:t xml:space="preserve">except for the </w:t>
      </w:r>
      <w:r w:rsidR="00635857">
        <w:rPr>
          <w:rFonts w:ascii="Verdana" w:hAnsi="Verdana" w:cs="Arial"/>
          <w:sz w:val="22"/>
        </w:rPr>
        <w:t>differ</w:t>
      </w:r>
      <w:r>
        <w:rPr>
          <w:rFonts w:ascii="Verdana" w:hAnsi="Verdana" w:cs="Arial"/>
          <w:sz w:val="22"/>
        </w:rPr>
        <w:t xml:space="preserve">ence </w:t>
      </w:r>
      <w:r w:rsidR="00635857">
        <w:rPr>
          <w:rFonts w:ascii="Verdana" w:hAnsi="Verdana" w:cs="Arial"/>
          <w:sz w:val="22"/>
        </w:rPr>
        <w:t>in the currency</w:t>
      </w:r>
      <w:r>
        <w:rPr>
          <w:rFonts w:ascii="Verdana" w:hAnsi="Verdana" w:cs="Arial"/>
          <w:sz w:val="22"/>
        </w:rPr>
        <w:t xml:space="preserve"> and difference between Bank Fees and Deal Amount</w:t>
      </w:r>
      <w:r w:rsidR="00635857">
        <w:rPr>
          <w:rFonts w:ascii="Verdana" w:hAnsi="Verdana" w:cs="Arial"/>
          <w:sz w:val="22"/>
        </w:rPr>
        <w:t xml:space="preserve">. </w:t>
      </w:r>
      <w:r w:rsidR="00C2444D">
        <w:rPr>
          <w:rFonts w:ascii="Verdana" w:hAnsi="Verdana" w:cs="Arial"/>
          <w:sz w:val="22"/>
        </w:rPr>
        <w:t>SOW% is defined using Bank Fees, whereas Market Share is defined using Deal Amount.</w:t>
      </w:r>
    </w:p>
    <w:p w:rsidR="00635857" w:rsidRPr="00A943F0" w:rsidRDefault="00635857" w:rsidP="00A943F0">
      <w:pPr>
        <w:spacing w:line="312" w:lineRule="auto"/>
        <w:rPr>
          <w:rFonts w:ascii="Verdana" w:hAnsi="Verdana" w:cs="Arial"/>
          <w:sz w:val="22"/>
        </w:rPr>
      </w:pPr>
    </w:p>
    <w:p w:rsidR="005610DE" w:rsidRPr="005610DE" w:rsidRDefault="005610DE" w:rsidP="005610DE">
      <w:pPr>
        <w:spacing w:line="312" w:lineRule="auto"/>
        <w:rPr>
          <w:rFonts w:ascii="Verdana" w:hAnsi="Verdana" w:cs="Arial"/>
          <w:b/>
          <w:sz w:val="22"/>
        </w:rPr>
      </w:pPr>
      <w:r w:rsidRPr="005610DE">
        <w:rPr>
          <w:rFonts w:ascii="Verdana" w:hAnsi="Verdana" w:cs="Arial"/>
          <w:b/>
          <w:sz w:val="28"/>
        </w:rPr>
        <w:t>Definition of the old SOW%</w:t>
      </w:r>
    </w:p>
    <w:p w:rsidR="005610DE" w:rsidRDefault="005610DE" w:rsidP="005610DE">
      <w:pPr>
        <w:spacing w:line="312" w:lineRule="auto"/>
        <w:rPr>
          <w:rFonts w:ascii="Verdana" w:hAnsi="Verdana" w:cs="Arial"/>
          <w:sz w:val="22"/>
        </w:rPr>
      </w:pPr>
      <w:r>
        <w:rPr>
          <w:rFonts w:ascii="Verdana" w:hAnsi="Verdana" w:cs="Arial"/>
          <w:sz w:val="22"/>
        </w:rPr>
        <w:t xml:space="preserve"> </w:t>
      </w:r>
    </w:p>
    <w:p w:rsidR="008C77E3" w:rsidRDefault="008C77E3" w:rsidP="005059AB">
      <w:pPr>
        <w:spacing w:line="312" w:lineRule="auto"/>
        <w:rPr>
          <w:rFonts w:ascii="Verdana" w:hAnsi="Verdana" w:cs="Arial"/>
          <w:sz w:val="22"/>
        </w:rPr>
      </w:pPr>
      <w:r>
        <w:rPr>
          <w:rFonts w:ascii="Verdana" w:hAnsi="Verdana" w:cs="Arial"/>
          <w:sz w:val="22"/>
        </w:rPr>
        <w:t xml:space="preserve">Let us look at the precise logic (perspective) of the original definition, using </w:t>
      </w:r>
    </w:p>
    <w:p w:rsidR="00D30C84" w:rsidRDefault="00D30C84" w:rsidP="005059AB">
      <w:pPr>
        <w:spacing w:line="312" w:lineRule="auto"/>
        <w:rPr>
          <w:rFonts w:ascii="Verdana" w:hAnsi="Verdana" w:cs="Arial"/>
          <w:sz w:val="22"/>
        </w:rPr>
      </w:pPr>
    </w:p>
    <w:p w:rsidR="008C77E3" w:rsidRDefault="00D30C84" w:rsidP="00D30C84">
      <w:pPr>
        <w:spacing w:line="312" w:lineRule="auto"/>
        <w:ind w:left="720"/>
        <w:rPr>
          <w:rFonts w:ascii="Verdana" w:hAnsi="Verdana" w:cs="Arial"/>
          <w:sz w:val="22"/>
        </w:rPr>
      </w:pPr>
      <w:r w:rsidRPr="00CB081D">
        <w:rPr>
          <w:rFonts w:ascii="Courier New" w:hAnsi="Courier New" w:cs="Courier New"/>
          <w:sz w:val="20"/>
        </w:rPr>
        <w:t xml:space="preserve">[Share Of </w:t>
      </w:r>
      <w:proofErr w:type="gramStart"/>
      <w:r w:rsidRPr="00CB081D">
        <w:rPr>
          <w:rFonts w:ascii="Courier New" w:hAnsi="Courier New" w:cs="Courier New"/>
          <w:sz w:val="20"/>
        </w:rPr>
        <w:t>Wallet  (</w:t>
      </w:r>
      <w:proofErr w:type="gramEnd"/>
      <w:r w:rsidRPr="00CB081D">
        <w:rPr>
          <w:rFonts w:ascii="Courier New" w:hAnsi="Courier New" w:cs="Courier New"/>
          <w:sz w:val="20"/>
        </w:rPr>
        <w:t>Must be used with Dimension Bank - Bank Name)]</w:t>
      </w:r>
    </w:p>
    <w:p w:rsidR="00D30C84" w:rsidRDefault="00D30C84" w:rsidP="005059AB">
      <w:pPr>
        <w:spacing w:line="312" w:lineRule="auto"/>
        <w:rPr>
          <w:rFonts w:ascii="Verdana" w:hAnsi="Verdana" w:cs="Arial"/>
          <w:sz w:val="22"/>
        </w:rPr>
      </w:pPr>
    </w:p>
    <w:p w:rsidR="00AB66C9" w:rsidRDefault="008C77E3" w:rsidP="005059AB">
      <w:pPr>
        <w:spacing w:line="312" w:lineRule="auto"/>
        <w:rPr>
          <w:rFonts w:ascii="Verdana" w:hAnsi="Verdana" w:cs="Arial"/>
          <w:sz w:val="22"/>
        </w:rPr>
      </w:pPr>
      <w:proofErr w:type="gramStart"/>
      <w:r>
        <w:rPr>
          <w:rFonts w:ascii="Verdana" w:hAnsi="Verdana" w:cs="Arial"/>
          <w:sz w:val="22"/>
        </w:rPr>
        <w:t>as</w:t>
      </w:r>
      <w:proofErr w:type="gramEnd"/>
      <w:r>
        <w:rPr>
          <w:rFonts w:ascii="Verdana" w:hAnsi="Verdana" w:cs="Arial"/>
          <w:sz w:val="22"/>
        </w:rPr>
        <w:t xml:space="preserve"> an example.</w:t>
      </w:r>
      <w:r w:rsidR="00D30C84">
        <w:rPr>
          <w:rFonts w:ascii="Verdana" w:hAnsi="Verdana" w:cs="Arial"/>
          <w:sz w:val="22"/>
        </w:rPr>
        <w:t xml:space="preserve"> </w:t>
      </w:r>
      <w:r w:rsidR="00801C4C">
        <w:rPr>
          <w:rFonts w:ascii="Verdana" w:hAnsi="Verdana" w:cs="Arial"/>
          <w:sz w:val="22"/>
        </w:rPr>
        <w:t xml:space="preserve">Let’s simply call it SOW%. </w:t>
      </w:r>
      <w:r w:rsidR="00D30C84">
        <w:rPr>
          <w:rFonts w:ascii="Verdana" w:hAnsi="Verdana" w:cs="Arial"/>
          <w:sz w:val="22"/>
        </w:rPr>
        <w:t xml:space="preserve">This is defined as </w:t>
      </w:r>
    </w:p>
    <w:p w:rsidR="00AB66C9" w:rsidRDefault="00AB66C9" w:rsidP="005059AB">
      <w:pPr>
        <w:spacing w:line="312" w:lineRule="auto"/>
        <w:rPr>
          <w:rFonts w:ascii="Verdana" w:hAnsi="Verdana" w:cs="Arial"/>
          <w:sz w:val="22"/>
        </w:rPr>
      </w:pPr>
    </w:p>
    <w:p w:rsidR="00AB66C9" w:rsidRDefault="00AB66C9" w:rsidP="00AB66C9">
      <w:pPr>
        <w:spacing w:line="312" w:lineRule="auto"/>
        <w:jc w:val="center"/>
        <w:rPr>
          <w:rFonts w:ascii="Courier New" w:hAnsi="Courier New" w:cs="Courier New"/>
          <w:noProof/>
          <w:sz w:val="20"/>
          <w:szCs w:val="20"/>
          <w:lang w:eastAsia="en-US"/>
        </w:rPr>
      </w:pPr>
      <w:r>
        <w:rPr>
          <w:rFonts w:ascii="Courier New" w:hAnsi="Courier New" w:cs="Courier New"/>
          <w:noProof/>
          <w:sz w:val="20"/>
          <w:szCs w:val="20"/>
          <w:lang w:eastAsia="en-US"/>
        </w:rPr>
        <w:t>([Measures].[Fees in USD]) / ([Banks].[Bank Name].[All], [Measures].[Fees in USD])</w:t>
      </w:r>
    </w:p>
    <w:p w:rsidR="00AB66C9" w:rsidRDefault="00AB66C9" w:rsidP="005059AB">
      <w:pPr>
        <w:spacing w:line="312" w:lineRule="auto"/>
        <w:rPr>
          <w:rFonts w:ascii="Verdana" w:hAnsi="Verdana" w:cs="Arial"/>
          <w:sz w:val="22"/>
        </w:rPr>
      </w:pPr>
    </w:p>
    <w:p w:rsidR="008C77E3" w:rsidRDefault="005F52C0" w:rsidP="005059AB">
      <w:pPr>
        <w:spacing w:line="312" w:lineRule="auto"/>
        <w:rPr>
          <w:rFonts w:ascii="Verdana" w:hAnsi="Verdana" w:cs="Arial"/>
          <w:sz w:val="22"/>
        </w:rPr>
      </w:pPr>
      <w:r>
        <w:rPr>
          <w:rFonts w:ascii="Verdana" w:hAnsi="Verdana" w:cs="Arial"/>
          <w:sz w:val="22"/>
        </w:rPr>
        <w:lastRenderedPageBreak/>
        <w:t xml:space="preserve">Namely, </w:t>
      </w:r>
      <w:r w:rsidR="00D30C84">
        <w:rPr>
          <w:rFonts w:ascii="Verdana" w:hAnsi="Verdana" w:cs="Arial"/>
          <w:sz w:val="22"/>
        </w:rPr>
        <w:t xml:space="preserve">the ratio of </w:t>
      </w:r>
    </w:p>
    <w:p w:rsidR="00D30C84" w:rsidRDefault="00D30C84" w:rsidP="005059AB">
      <w:pPr>
        <w:spacing w:line="312" w:lineRule="auto"/>
        <w:rPr>
          <w:rFonts w:ascii="Verdana" w:hAnsi="Verdana" w:cs="Arial"/>
          <w:sz w:val="22"/>
        </w:rPr>
      </w:pPr>
    </w:p>
    <w:p w:rsidR="00D30C84" w:rsidRPr="00801C4C" w:rsidRDefault="00D30C84" w:rsidP="00D30C84">
      <w:pPr>
        <w:spacing w:line="312" w:lineRule="auto"/>
        <w:jc w:val="center"/>
        <w:rPr>
          <w:rFonts w:ascii="Verdana" w:hAnsi="Verdana" w:cs="Arial"/>
          <w:i/>
          <w:sz w:val="20"/>
        </w:rPr>
      </w:pPr>
      <w:r w:rsidRPr="00801C4C">
        <w:rPr>
          <w:rFonts w:ascii="Verdana" w:hAnsi="Verdana" w:cs="Arial"/>
          <w:i/>
          <w:sz w:val="20"/>
        </w:rPr>
        <w:t xml:space="preserve">Bank fees (in USD) earned by </w:t>
      </w:r>
      <w:r w:rsidR="00DE4BA9">
        <w:rPr>
          <w:rFonts w:ascii="Verdana" w:hAnsi="Verdana" w:cs="Arial"/>
          <w:i/>
          <w:sz w:val="20"/>
        </w:rPr>
        <w:t xml:space="preserve">bank(s) </w:t>
      </w:r>
      <w:r w:rsidR="00143787">
        <w:rPr>
          <w:rFonts w:ascii="Verdana" w:hAnsi="Verdana" w:cs="Arial"/>
          <w:i/>
          <w:sz w:val="20"/>
        </w:rPr>
        <w:t xml:space="preserve">implied by </w:t>
      </w:r>
      <w:r w:rsidRPr="00143787">
        <w:rPr>
          <w:rFonts w:ascii="Verdana" w:hAnsi="Verdana" w:cs="Arial"/>
          <w:b/>
          <w:i/>
          <w:sz w:val="20"/>
        </w:rPr>
        <w:t>the context</w:t>
      </w:r>
    </w:p>
    <w:p w:rsidR="00D30C84" w:rsidRPr="00801C4C" w:rsidRDefault="00D30C84" w:rsidP="00D30C84">
      <w:pPr>
        <w:spacing w:line="312" w:lineRule="auto"/>
        <w:jc w:val="center"/>
        <w:rPr>
          <w:rFonts w:ascii="Verdana" w:hAnsi="Verdana" w:cs="Arial"/>
          <w:i/>
          <w:sz w:val="20"/>
        </w:rPr>
      </w:pPr>
      <w:proofErr w:type="gramStart"/>
      <w:r w:rsidRPr="00801C4C">
        <w:rPr>
          <w:rFonts w:ascii="Verdana" w:hAnsi="Verdana" w:cs="Arial"/>
          <w:i/>
          <w:sz w:val="20"/>
        </w:rPr>
        <w:t>divided</w:t>
      </w:r>
      <w:proofErr w:type="gramEnd"/>
      <w:r w:rsidRPr="00801C4C">
        <w:rPr>
          <w:rFonts w:ascii="Verdana" w:hAnsi="Verdana" w:cs="Arial"/>
          <w:i/>
          <w:sz w:val="20"/>
        </w:rPr>
        <w:t xml:space="preserve"> by</w:t>
      </w:r>
    </w:p>
    <w:p w:rsidR="00D30C84" w:rsidRPr="00801C4C" w:rsidRDefault="00D30C84" w:rsidP="00D30C84">
      <w:pPr>
        <w:spacing w:line="312" w:lineRule="auto"/>
        <w:jc w:val="center"/>
        <w:rPr>
          <w:rFonts w:ascii="Verdana" w:hAnsi="Verdana" w:cs="Arial"/>
          <w:i/>
          <w:sz w:val="20"/>
        </w:rPr>
      </w:pPr>
      <w:r w:rsidRPr="00801C4C">
        <w:rPr>
          <w:rFonts w:ascii="Verdana" w:hAnsi="Verdana" w:cs="Arial"/>
          <w:i/>
          <w:sz w:val="20"/>
        </w:rPr>
        <w:t xml:space="preserve">Bank fees (in USD) earned by all the banks within </w:t>
      </w:r>
      <w:r w:rsidRPr="00143787">
        <w:rPr>
          <w:rFonts w:ascii="Verdana" w:hAnsi="Verdana" w:cs="Arial"/>
          <w:b/>
          <w:i/>
          <w:sz w:val="20"/>
        </w:rPr>
        <w:t>the context</w:t>
      </w:r>
    </w:p>
    <w:p w:rsidR="00D30C84" w:rsidRDefault="00D30C84" w:rsidP="005059AB">
      <w:pPr>
        <w:spacing w:line="312" w:lineRule="auto"/>
        <w:rPr>
          <w:rFonts w:ascii="Verdana" w:hAnsi="Verdana" w:cs="Arial"/>
          <w:sz w:val="22"/>
        </w:rPr>
      </w:pPr>
    </w:p>
    <w:p w:rsidR="00143787" w:rsidRDefault="00D30C84" w:rsidP="005059AB">
      <w:pPr>
        <w:spacing w:line="312" w:lineRule="auto"/>
        <w:rPr>
          <w:rFonts w:ascii="Verdana" w:hAnsi="Verdana" w:cs="Arial"/>
          <w:sz w:val="22"/>
        </w:rPr>
      </w:pPr>
      <w:r>
        <w:rPr>
          <w:rFonts w:ascii="Verdana" w:hAnsi="Verdana" w:cs="Arial"/>
          <w:sz w:val="22"/>
        </w:rPr>
        <w:t xml:space="preserve">Pay special attention to the phrase “the context”. </w:t>
      </w:r>
      <w:r w:rsidR="00801C4C">
        <w:rPr>
          <w:rFonts w:ascii="Verdana" w:hAnsi="Verdana" w:cs="Arial"/>
          <w:sz w:val="22"/>
        </w:rPr>
        <w:t xml:space="preserve">For example, for each cell in a Pivot Table, </w:t>
      </w:r>
      <w:r w:rsidR="00801C4C" w:rsidRPr="00411FBC">
        <w:rPr>
          <w:rFonts w:ascii="Verdana" w:hAnsi="Verdana" w:cs="Arial"/>
          <w:b/>
          <w:sz w:val="22"/>
        </w:rPr>
        <w:t>the context is determined by the filters selected in the filter area, the row and the column the cell is located</w:t>
      </w:r>
      <w:r w:rsidR="00801C4C">
        <w:rPr>
          <w:rFonts w:ascii="Verdana" w:hAnsi="Verdana" w:cs="Arial"/>
          <w:sz w:val="22"/>
        </w:rPr>
        <w:t xml:space="preserve">. The context </w:t>
      </w:r>
      <w:r w:rsidR="00143787">
        <w:rPr>
          <w:rFonts w:ascii="Verdana" w:hAnsi="Verdana" w:cs="Arial"/>
          <w:sz w:val="22"/>
        </w:rPr>
        <w:t xml:space="preserve">always resolves </w:t>
      </w:r>
      <w:r w:rsidR="00801C4C">
        <w:rPr>
          <w:rFonts w:ascii="Verdana" w:hAnsi="Verdana" w:cs="Arial"/>
          <w:sz w:val="22"/>
        </w:rPr>
        <w:t xml:space="preserve">to a </w:t>
      </w:r>
      <w:r w:rsidR="00DE4BA9">
        <w:rPr>
          <w:rFonts w:ascii="Verdana" w:hAnsi="Verdana" w:cs="Arial"/>
          <w:sz w:val="22"/>
        </w:rPr>
        <w:t xml:space="preserve">particular bank, a set of banks, </w:t>
      </w:r>
      <w:r w:rsidR="00801C4C">
        <w:rPr>
          <w:rFonts w:ascii="Verdana" w:hAnsi="Verdana" w:cs="Arial"/>
          <w:sz w:val="22"/>
        </w:rPr>
        <w:t xml:space="preserve">or all the banks. </w:t>
      </w:r>
      <w:r w:rsidR="00143787">
        <w:rPr>
          <w:rFonts w:ascii="Verdana" w:hAnsi="Verdana" w:cs="Arial"/>
          <w:sz w:val="22"/>
        </w:rPr>
        <w:t>If it resolves to a particular bank, then SOW% is equal to</w:t>
      </w:r>
    </w:p>
    <w:p w:rsidR="00143787" w:rsidRDefault="00143787" w:rsidP="00143787">
      <w:pPr>
        <w:tabs>
          <w:tab w:val="left" w:pos="8710"/>
        </w:tabs>
        <w:spacing w:line="312" w:lineRule="auto"/>
        <w:rPr>
          <w:rFonts w:ascii="Verdana" w:hAnsi="Verdana" w:cs="Arial"/>
          <w:sz w:val="22"/>
        </w:rPr>
      </w:pPr>
      <w:r>
        <w:rPr>
          <w:rFonts w:ascii="Verdana" w:hAnsi="Verdana" w:cs="Arial"/>
          <w:sz w:val="22"/>
        </w:rPr>
        <w:tab/>
      </w:r>
    </w:p>
    <w:p w:rsidR="00143787" w:rsidRPr="00801C4C" w:rsidRDefault="00143787" w:rsidP="00143787">
      <w:pPr>
        <w:spacing w:line="312" w:lineRule="auto"/>
        <w:jc w:val="center"/>
        <w:rPr>
          <w:rFonts w:ascii="Verdana" w:hAnsi="Verdana" w:cs="Arial"/>
          <w:i/>
          <w:sz w:val="20"/>
        </w:rPr>
      </w:pPr>
      <w:r w:rsidRPr="00801C4C">
        <w:rPr>
          <w:rFonts w:ascii="Verdana" w:hAnsi="Verdana" w:cs="Arial"/>
          <w:i/>
          <w:sz w:val="20"/>
        </w:rPr>
        <w:t xml:space="preserve">Bank fees (in USD) earned by </w:t>
      </w:r>
      <w:r>
        <w:rPr>
          <w:rFonts w:ascii="Verdana" w:hAnsi="Verdana" w:cs="Arial"/>
          <w:i/>
          <w:sz w:val="20"/>
        </w:rPr>
        <w:t xml:space="preserve">the particular bank implied by </w:t>
      </w:r>
      <w:r w:rsidRPr="00143787">
        <w:rPr>
          <w:rFonts w:ascii="Verdana" w:hAnsi="Verdana" w:cs="Arial"/>
          <w:b/>
          <w:i/>
          <w:sz w:val="20"/>
        </w:rPr>
        <w:t>the context</w:t>
      </w:r>
    </w:p>
    <w:p w:rsidR="00143787" w:rsidRPr="00801C4C" w:rsidRDefault="00143787" w:rsidP="00143787">
      <w:pPr>
        <w:spacing w:line="312" w:lineRule="auto"/>
        <w:jc w:val="center"/>
        <w:rPr>
          <w:rFonts w:ascii="Verdana" w:hAnsi="Verdana" w:cs="Arial"/>
          <w:i/>
          <w:sz w:val="20"/>
        </w:rPr>
      </w:pPr>
      <w:proofErr w:type="gramStart"/>
      <w:r w:rsidRPr="00801C4C">
        <w:rPr>
          <w:rFonts w:ascii="Verdana" w:hAnsi="Verdana" w:cs="Arial"/>
          <w:i/>
          <w:sz w:val="20"/>
        </w:rPr>
        <w:t>divided</w:t>
      </w:r>
      <w:proofErr w:type="gramEnd"/>
      <w:r w:rsidRPr="00801C4C">
        <w:rPr>
          <w:rFonts w:ascii="Verdana" w:hAnsi="Verdana" w:cs="Arial"/>
          <w:i/>
          <w:sz w:val="20"/>
        </w:rPr>
        <w:t xml:space="preserve"> by</w:t>
      </w:r>
    </w:p>
    <w:p w:rsidR="00143787" w:rsidRPr="00801C4C" w:rsidRDefault="00143787" w:rsidP="00143787">
      <w:pPr>
        <w:spacing w:line="312" w:lineRule="auto"/>
        <w:jc w:val="center"/>
        <w:rPr>
          <w:rFonts w:ascii="Verdana" w:hAnsi="Verdana" w:cs="Arial"/>
          <w:i/>
          <w:sz w:val="20"/>
        </w:rPr>
      </w:pPr>
      <w:r w:rsidRPr="00801C4C">
        <w:rPr>
          <w:rFonts w:ascii="Verdana" w:hAnsi="Verdana" w:cs="Arial"/>
          <w:i/>
          <w:sz w:val="20"/>
        </w:rPr>
        <w:t xml:space="preserve">Bank fees (in USD) earned by all the banks within </w:t>
      </w:r>
      <w:r w:rsidRPr="00143787">
        <w:rPr>
          <w:rFonts w:ascii="Verdana" w:hAnsi="Verdana" w:cs="Arial"/>
          <w:b/>
          <w:i/>
          <w:sz w:val="20"/>
        </w:rPr>
        <w:t>the context</w:t>
      </w:r>
    </w:p>
    <w:p w:rsidR="00143787" w:rsidRDefault="00143787" w:rsidP="005059AB">
      <w:pPr>
        <w:spacing w:line="312" w:lineRule="auto"/>
        <w:rPr>
          <w:rFonts w:ascii="Verdana" w:hAnsi="Verdana" w:cs="Arial"/>
          <w:sz w:val="22"/>
        </w:rPr>
      </w:pPr>
    </w:p>
    <w:p w:rsidR="00143787" w:rsidRDefault="00143787" w:rsidP="00143787">
      <w:pPr>
        <w:spacing w:line="312" w:lineRule="auto"/>
        <w:rPr>
          <w:rFonts w:ascii="Verdana" w:hAnsi="Verdana" w:cs="Arial"/>
          <w:sz w:val="22"/>
        </w:rPr>
      </w:pPr>
      <w:r>
        <w:rPr>
          <w:rFonts w:ascii="Verdana" w:hAnsi="Verdana" w:cs="Arial"/>
          <w:sz w:val="22"/>
        </w:rPr>
        <w:t>If it resolves to a set of banks, then SOW% is equal to</w:t>
      </w:r>
    </w:p>
    <w:p w:rsidR="00143787" w:rsidRDefault="00143787" w:rsidP="00143787">
      <w:pPr>
        <w:tabs>
          <w:tab w:val="left" w:pos="8710"/>
        </w:tabs>
        <w:spacing w:line="312" w:lineRule="auto"/>
        <w:rPr>
          <w:rFonts w:ascii="Verdana" w:hAnsi="Verdana" w:cs="Arial"/>
          <w:sz w:val="22"/>
        </w:rPr>
      </w:pPr>
      <w:r>
        <w:rPr>
          <w:rFonts w:ascii="Verdana" w:hAnsi="Verdana" w:cs="Arial"/>
          <w:sz w:val="22"/>
        </w:rPr>
        <w:tab/>
      </w:r>
    </w:p>
    <w:p w:rsidR="00143787" w:rsidRPr="00801C4C" w:rsidRDefault="00143787" w:rsidP="00143787">
      <w:pPr>
        <w:spacing w:line="312" w:lineRule="auto"/>
        <w:jc w:val="center"/>
        <w:rPr>
          <w:rFonts w:ascii="Verdana" w:hAnsi="Verdana" w:cs="Arial"/>
          <w:i/>
          <w:sz w:val="20"/>
        </w:rPr>
      </w:pPr>
      <w:r w:rsidRPr="00801C4C">
        <w:rPr>
          <w:rFonts w:ascii="Verdana" w:hAnsi="Verdana" w:cs="Arial"/>
          <w:i/>
          <w:sz w:val="20"/>
        </w:rPr>
        <w:t xml:space="preserve">Bank fees (in USD) earned by </w:t>
      </w:r>
      <w:r>
        <w:rPr>
          <w:rFonts w:ascii="Verdana" w:hAnsi="Verdana" w:cs="Arial"/>
          <w:i/>
          <w:sz w:val="20"/>
        </w:rPr>
        <w:t xml:space="preserve">the set of banks implied by </w:t>
      </w:r>
      <w:r w:rsidRPr="00143787">
        <w:rPr>
          <w:rFonts w:ascii="Verdana" w:hAnsi="Verdana" w:cs="Arial"/>
          <w:b/>
          <w:i/>
          <w:sz w:val="20"/>
        </w:rPr>
        <w:t>the context</w:t>
      </w:r>
    </w:p>
    <w:p w:rsidR="00143787" w:rsidRPr="00801C4C" w:rsidRDefault="00143787" w:rsidP="00143787">
      <w:pPr>
        <w:spacing w:line="312" w:lineRule="auto"/>
        <w:jc w:val="center"/>
        <w:rPr>
          <w:rFonts w:ascii="Verdana" w:hAnsi="Verdana" w:cs="Arial"/>
          <w:i/>
          <w:sz w:val="20"/>
        </w:rPr>
      </w:pPr>
      <w:proofErr w:type="gramStart"/>
      <w:r w:rsidRPr="00801C4C">
        <w:rPr>
          <w:rFonts w:ascii="Verdana" w:hAnsi="Verdana" w:cs="Arial"/>
          <w:i/>
          <w:sz w:val="20"/>
        </w:rPr>
        <w:t>divided</w:t>
      </w:r>
      <w:proofErr w:type="gramEnd"/>
      <w:r w:rsidRPr="00801C4C">
        <w:rPr>
          <w:rFonts w:ascii="Verdana" w:hAnsi="Verdana" w:cs="Arial"/>
          <w:i/>
          <w:sz w:val="20"/>
        </w:rPr>
        <w:t xml:space="preserve"> by</w:t>
      </w:r>
    </w:p>
    <w:p w:rsidR="00143787" w:rsidRPr="00801C4C" w:rsidRDefault="00143787" w:rsidP="00143787">
      <w:pPr>
        <w:spacing w:line="312" w:lineRule="auto"/>
        <w:jc w:val="center"/>
        <w:rPr>
          <w:rFonts w:ascii="Verdana" w:hAnsi="Verdana" w:cs="Arial"/>
          <w:i/>
          <w:sz w:val="20"/>
        </w:rPr>
      </w:pPr>
      <w:r w:rsidRPr="00801C4C">
        <w:rPr>
          <w:rFonts w:ascii="Verdana" w:hAnsi="Verdana" w:cs="Arial"/>
          <w:i/>
          <w:sz w:val="20"/>
        </w:rPr>
        <w:t xml:space="preserve">Bank fees (in USD) earned by all the banks within </w:t>
      </w:r>
      <w:r w:rsidRPr="00143787">
        <w:rPr>
          <w:rFonts w:ascii="Verdana" w:hAnsi="Verdana" w:cs="Arial"/>
          <w:b/>
          <w:i/>
          <w:sz w:val="20"/>
        </w:rPr>
        <w:t>the context</w:t>
      </w:r>
    </w:p>
    <w:p w:rsidR="00143787" w:rsidRDefault="00143787" w:rsidP="00143787">
      <w:pPr>
        <w:spacing w:line="312" w:lineRule="auto"/>
        <w:rPr>
          <w:rFonts w:ascii="Verdana" w:hAnsi="Verdana" w:cs="Arial"/>
          <w:sz w:val="22"/>
        </w:rPr>
      </w:pPr>
    </w:p>
    <w:p w:rsidR="00143787" w:rsidRDefault="00143787" w:rsidP="00143787">
      <w:pPr>
        <w:spacing w:line="312" w:lineRule="auto"/>
        <w:rPr>
          <w:rFonts w:ascii="Verdana" w:hAnsi="Verdana" w:cs="Arial"/>
          <w:sz w:val="22"/>
        </w:rPr>
      </w:pPr>
      <w:r>
        <w:rPr>
          <w:rFonts w:ascii="Verdana" w:hAnsi="Verdana" w:cs="Arial"/>
          <w:sz w:val="22"/>
        </w:rPr>
        <w:t>If it resolves to all the banks, then SOW% is equal to</w:t>
      </w:r>
    </w:p>
    <w:p w:rsidR="00143787" w:rsidRDefault="00143787" w:rsidP="00143787">
      <w:pPr>
        <w:tabs>
          <w:tab w:val="left" w:pos="8710"/>
        </w:tabs>
        <w:spacing w:line="312" w:lineRule="auto"/>
        <w:rPr>
          <w:rFonts w:ascii="Verdana" w:hAnsi="Verdana" w:cs="Arial"/>
          <w:sz w:val="22"/>
        </w:rPr>
      </w:pPr>
      <w:r>
        <w:rPr>
          <w:rFonts w:ascii="Verdana" w:hAnsi="Verdana" w:cs="Arial"/>
          <w:sz w:val="22"/>
        </w:rPr>
        <w:tab/>
      </w:r>
    </w:p>
    <w:p w:rsidR="00143787" w:rsidRPr="00801C4C" w:rsidRDefault="00143787" w:rsidP="00143787">
      <w:pPr>
        <w:spacing w:line="312" w:lineRule="auto"/>
        <w:jc w:val="center"/>
        <w:rPr>
          <w:rFonts w:ascii="Verdana" w:hAnsi="Verdana" w:cs="Arial"/>
          <w:i/>
          <w:sz w:val="20"/>
        </w:rPr>
      </w:pPr>
      <w:r w:rsidRPr="00801C4C">
        <w:rPr>
          <w:rFonts w:ascii="Verdana" w:hAnsi="Verdana" w:cs="Arial"/>
          <w:i/>
          <w:sz w:val="20"/>
        </w:rPr>
        <w:t xml:space="preserve">Bank fees (in USD) earned by </w:t>
      </w:r>
      <w:r>
        <w:rPr>
          <w:rFonts w:ascii="Verdana" w:hAnsi="Verdana" w:cs="Arial"/>
          <w:i/>
          <w:sz w:val="20"/>
        </w:rPr>
        <w:t xml:space="preserve">all the banks within </w:t>
      </w:r>
      <w:r w:rsidRPr="00143787">
        <w:rPr>
          <w:rFonts w:ascii="Verdana" w:hAnsi="Verdana" w:cs="Arial"/>
          <w:b/>
          <w:i/>
          <w:sz w:val="20"/>
        </w:rPr>
        <w:t>the context</w:t>
      </w:r>
    </w:p>
    <w:p w:rsidR="00143787" w:rsidRPr="00801C4C" w:rsidRDefault="00143787" w:rsidP="00143787">
      <w:pPr>
        <w:spacing w:line="312" w:lineRule="auto"/>
        <w:jc w:val="center"/>
        <w:rPr>
          <w:rFonts w:ascii="Verdana" w:hAnsi="Verdana" w:cs="Arial"/>
          <w:i/>
          <w:sz w:val="20"/>
        </w:rPr>
      </w:pPr>
      <w:proofErr w:type="gramStart"/>
      <w:r w:rsidRPr="00801C4C">
        <w:rPr>
          <w:rFonts w:ascii="Verdana" w:hAnsi="Verdana" w:cs="Arial"/>
          <w:i/>
          <w:sz w:val="20"/>
        </w:rPr>
        <w:t>divided</w:t>
      </w:r>
      <w:proofErr w:type="gramEnd"/>
      <w:r w:rsidRPr="00801C4C">
        <w:rPr>
          <w:rFonts w:ascii="Verdana" w:hAnsi="Verdana" w:cs="Arial"/>
          <w:i/>
          <w:sz w:val="20"/>
        </w:rPr>
        <w:t xml:space="preserve"> by</w:t>
      </w:r>
    </w:p>
    <w:p w:rsidR="00143787" w:rsidRPr="00801C4C" w:rsidRDefault="00143787" w:rsidP="00143787">
      <w:pPr>
        <w:spacing w:line="312" w:lineRule="auto"/>
        <w:jc w:val="center"/>
        <w:rPr>
          <w:rFonts w:ascii="Verdana" w:hAnsi="Verdana" w:cs="Arial"/>
          <w:i/>
          <w:sz w:val="20"/>
        </w:rPr>
      </w:pPr>
      <w:r w:rsidRPr="00801C4C">
        <w:rPr>
          <w:rFonts w:ascii="Verdana" w:hAnsi="Verdana" w:cs="Arial"/>
          <w:i/>
          <w:sz w:val="20"/>
        </w:rPr>
        <w:t xml:space="preserve">Bank fees (in USD) earned by all the banks within </w:t>
      </w:r>
      <w:r w:rsidRPr="00143787">
        <w:rPr>
          <w:rFonts w:ascii="Verdana" w:hAnsi="Verdana" w:cs="Arial"/>
          <w:b/>
          <w:i/>
          <w:sz w:val="20"/>
        </w:rPr>
        <w:t>the context</w:t>
      </w:r>
    </w:p>
    <w:p w:rsidR="00143787" w:rsidRDefault="00143787" w:rsidP="00143787">
      <w:pPr>
        <w:spacing w:line="312" w:lineRule="auto"/>
        <w:rPr>
          <w:rFonts w:ascii="Verdana" w:hAnsi="Verdana" w:cs="Arial"/>
          <w:sz w:val="22"/>
        </w:rPr>
      </w:pPr>
    </w:p>
    <w:p w:rsidR="00143787" w:rsidRDefault="00143787" w:rsidP="005059AB">
      <w:pPr>
        <w:spacing w:line="312" w:lineRule="auto"/>
        <w:rPr>
          <w:rFonts w:ascii="Verdana" w:hAnsi="Verdana" w:cs="Arial"/>
          <w:sz w:val="22"/>
        </w:rPr>
      </w:pPr>
      <w:r>
        <w:rPr>
          <w:rFonts w:ascii="Verdana" w:hAnsi="Verdana" w:cs="Arial"/>
          <w:sz w:val="22"/>
        </w:rPr>
        <w:t xml:space="preserve">Obviously this is 100%. </w:t>
      </w:r>
      <w:r w:rsidR="00801C4C">
        <w:rPr>
          <w:rFonts w:ascii="Verdana" w:hAnsi="Verdana" w:cs="Arial"/>
          <w:sz w:val="22"/>
        </w:rPr>
        <w:t>If your context references no bank, for example, your filters, rows and columns do not reference Bank dimension at all, then the context resolves to all the banks. In this case, your SOW% would be</w:t>
      </w:r>
      <w:r>
        <w:rPr>
          <w:rFonts w:ascii="Verdana" w:hAnsi="Verdana" w:cs="Arial"/>
          <w:sz w:val="22"/>
        </w:rPr>
        <w:t xml:space="preserve"> 100%.</w:t>
      </w:r>
    </w:p>
    <w:p w:rsidR="00143787" w:rsidRDefault="00143787" w:rsidP="005059AB">
      <w:pPr>
        <w:spacing w:line="312" w:lineRule="auto"/>
        <w:rPr>
          <w:rFonts w:ascii="Verdana" w:hAnsi="Verdana" w:cs="Arial"/>
          <w:sz w:val="22"/>
        </w:rPr>
      </w:pPr>
    </w:p>
    <w:p w:rsidR="007205A6" w:rsidRPr="005610DE" w:rsidRDefault="007205A6" w:rsidP="007205A6">
      <w:pPr>
        <w:spacing w:line="312" w:lineRule="auto"/>
        <w:rPr>
          <w:rFonts w:ascii="Verdana" w:hAnsi="Verdana" w:cs="Arial"/>
          <w:b/>
          <w:sz w:val="22"/>
        </w:rPr>
      </w:pPr>
      <w:r w:rsidRPr="005610DE">
        <w:rPr>
          <w:rFonts w:ascii="Verdana" w:hAnsi="Verdana" w:cs="Arial"/>
          <w:b/>
          <w:sz w:val="28"/>
        </w:rPr>
        <w:t xml:space="preserve">Definition of </w:t>
      </w:r>
      <w:r>
        <w:rPr>
          <w:rFonts w:ascii="Verdana" w:hAnsi="Verdana" w:cs="Arial"/>
          <w:b/>
          <w:sz w:val="28"/>
        </w:rPr>
        <w:t>Rank Order</w:t>
      </w:r>
    </w:p>
    <w:p w:rsidR="007205A6" w:rsidRDefault="007205A6" w:rsidP="007205A6">
      <w:pPr>
        <w:spacing w:line="312" w:lineRule="auto"/>
        <w:rPr>
          <w:rFonts w:ascii="Verdana" w:hAnsi="Verdana" w:cs="Arial"/>
          <w:sz w:val="22"/>
        </w:rPr>
      </w:pPr>
      <w:r>
        <w:rPr>
          <w:rFonts w:ascii="Verdana" w:hAnsi="Verdana" w:cs="Arial"/>
          <w:sz w:val="22"/>
        </w:rPr>
        <w:t xml:space="preserve"> </w:t>
      </w:r>
    </w:p>
    <w:p w:rsidR="007205A6" w:rsidRDefault="007205A6" w:rsidP="007205A6">
      <w:pPr>
        <w:spacing w:line="312" w:lineRule="auto"/>
        <w:rPr>
          <w:rFonts w:ascii="Verdana" w:hAnsi="Verdana" w:cs="Arial"/>
          <w:sz w:val="22"/>
        </w:rPr>
      </w:pPr>
      <w:r>
        <w:rPr>
          <w:rFonts w:ascii="Verdana" w:hAnsi="Verdana" w:cs="Arial"/>
          <w:sz w:val="22"/>
        </w:rPr>
        <w:t>Now let us look at the definition of Rank Order. There are four rank orders defined.</w:t>
      </w:r>
    </w:p>
    <w:p w:rsidR="007205A6" w:rsidRDefault="007205A6" w:rsidP="007205A6">
      <w:pPr>
        <w:spacing w:line="312" w:lineRule="auto"/>
        <w:rPr>
          <w:rFonts w:ascii="Verdana" w:hAnsi="Verdana" w:cs="Arial"/>
          <w:sz w:val="22"/>
        </w:rPr>
      </w:pPr>
    </w:p>
    <w:p w:rsidR="007205A6" w:rsidRPr="00725B90" w:rsidRDefault="007205A6" w:rsidP="007205A6">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[Rank Order (Fees in USD)]</w:t>
      </w:r>
    </w:p>
    <w:p w:rsidR="007205A6" w:rsidRPr="00725B90" w:rsidRDefault="007205A6" w:rsidP="007205A6">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[Rank Order (Fees in Euro)]</w:t>
      </w:r>
    </w:p>
    <w:p w:rsidR="007205A6" w:rsidRPr="00725B90" w:rsidRDefault="007205A6" w:rsidP="007205A6">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lastRenderedPageBreak/>
        <w:t>[Rank Order (Fees in STG)]</w:t>
      </w:r>
    </w:p>
    <w:p w:rsidR="007205A6" w:rsidRPr="00CB081D" w:rsidRDefault="007205A6" w:rsidP="007205A6">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[Rank Order (Fees in Yen)]</w:t>
      </w:r>
    </w:p>
    <w:p w:rsidR="007205A6" w:rsidRDefault="007205A6" w:rsidP="007205A6">
      <w:pPr>
        <w:spacing w:line="312" w:lineRule="auto"/>
        <w:rPr>
          <w:rFonts w:ascii="Verdana" w:hAnsi="Verdana" w:cs="Arial"/>
          <w:sz w:val="22"/>
        </w:rPr>
      </w:pPr>
    </w:p>
    <w:p w:rsidR="007205A6" w:rsidRDefault="007205A6" w:rsidP="007205A6">
      <w:pPr>
        <w:spacing w:line="312" w:lineRule="auto"/>
        <w:rPr>
          <w:rFonts w:ascii="Verdana" w:hAnsi="Verdana" w:cs="Arial"/>
          <w:sz w:val="22"/>
        </w:rPr>
      </w:pPr>
      <w:r>
        <w:rPr>
          <w:rFonts w:ascii="Verdana" w:hAnsi="Verdana" w:cs="Arial"/>
          <w:sz w:val="22"/>
        </w:rPr>
        <w:t>They all follow the same l</w:t>
      </w:r>
      <w:r w:rsidR="00FC1A85">
        <w:rPr>
          <w:rFonts w:ascii="Verdana" w:hAnsi="Verdana" w:cs="Arial"/>
          <w:sz w:val="22"/>
        </w:rPr>
        <w:t xml:space="preserve">ogic, and their only differences lie in the currency. So </w:t>
      </w:r>
      <w:r w:rsidR="00635857">
        <w:rPr>
          <w:rFonts w:ascii="Verdana" w:hAnsi="Verdana" w:cs="Arial"/>
          <w:sz w:val="22"/>
        </w:rPr>
        <w:t xml:space="preserve">we only need to talk about the first one. </w:t>
      </w:r>
      <w:r w:rsidR="002A6E9F">
        <w:rPr>
          <w:rFonts w:ascii="Verdana" w:hAnsi="Verdana" w:cs="Arial"/>
          <w:sz w:val="22"/>
        </w:rPr>
        <w:t>It is defined as</w:t>
      </w:r>
    </w:p>
    <w:p w:rsidR="00D30C84" w:rsidRDefault="00D30C84" w:rsidP="005059AB">
      <w:pPr>
        <w:spacing w:line="312" w:lineRule="auto"/>
        <w:rPr>
          <w:rFonts w:ascii="Verdana" w:hAnsi="Verdana" w:cs="Arial"/>
          <w:sz w:val="22"/>
        </w:rPr>
      </w:pPr>
    </w:p>
    <w:p w:rsidR="007205A6" w:rsidRDefault="007205A6" w:rsidP="005059AB">
      <w:pPr>
        <w:spacing w:line="312" w:lineRule="auto"/>
        <w:rPr>
          <w:rFonts w:ascii="Courier New" w:hAnsi="Courier New" w:cs="Courier New"/>
          <w:noProof/>
          <w:sz w:val="20"/>
          <w:szCs w:val="20"/>
          <w:lang w:eastAsia="en-US"/>
        </w:rPr>
      </w:pPr>
      <w:r>
        <w:rPr>
          <w:rFonts w:ascii="Courier New" w:hAnsi="Courier New" w:cs="Courier New"/>
          <w:noProof/>
          <w:color w:val="800000"/>
          <w:sz w:val="20"/>
          <w:szCs w:val="20"/>
          <w:lang w:eastAsia="en-US"/>
        </w:rPr>
        <w:t>Rank</w:t>
      </w:r>
      <w:r>
        <w:rPr>
          <w:rFonts w:ascii="Courier New" w:hAnsi="Courier New" w:cs="Courier New"/>
          <w:noProof/>
          <w:sz w:val="20"/>
          <w:szCs w:val="20"/>
          <w:lang w:eastAsia="en-US"/>
        </w:rPr>
        <w:t>([Banks].[Bank Name].</w:t>
      </w:r>
      <w:r>
        <w:rPr>
          <w:rFonts w:ascii="Courier New" w:hAnsi="Courier New" w:cs="Courier New"/>
          <w:noProof/>
          <w:color w:val="800000"/>
          <w:sz w:val="20"/>
          <w:szCs w:val="20"/>
          <w:lang w:eastAsia="en-US"/>
        </w:rPr>
        <w:t>CurrentMember</w:t>
      </w:r>
      <w:r>
        <w:rPr>
          <w:rFonts w:ascii="Courier New" w:hAnsi="Courier New" w:cs="Courier New"/>
          <w:noProof/>
          <w:sz w:val="20"/>
          <w:szCs w:val="20"/>
          <w:lang w:eastAsia="en-US"/>
        </w:rPr>
        <w:t>, [Banks].[Bank Name].[Name].</w:t>
      </w:r>
      <w:r>
        <w:rPr>
          <w:rFonts w:ascii="Courier New" w:hAnsi="Courier New" w:cs="Courier New"/>
          <w:noProof/>
          <w:color w:val="0000FF"/>
          <w:sz w:val="20"/>
          <w:szCs w:val="20"/>
          <w:lang w:eastAsia="en-US"/>
        </w:rPr>
        <w:t>members</w:t>
      </w:r>
      <w:r>
        <w:rPr>
          <w:rFonts w:ascii="Courier New" w:hAnsi="Courier New" w:cs="Courier New"/>
          <w:noProof/>
          <w:sz w:val="20"/>
          <w:szCs w:val="20"/>
          <w:lang w:eastAsia="en-US"/>
        </w:rPr>
        <w:t>, ([Measures].[Fees in USD]))</w:t>
      </w:r>
    </w:p>
    <w:p w:rsidR="007205A6" w:rsidRDefault="007205A6" w:rsidP="005059AB">
      <w:pPr>
        <w:spacing w:line="312" w:lineRule="auto"/>
        <w:rPr>
          <w:rFonts w:ascii="Verdana" w:hAnsi="Verdana" w:cs="Arial"/>
          <w:sz w:val="22"/>
        </w:rPr>
      </w:pPr>
    </w:p>
    <w:p w:rsidR="001C16D7" w:rsidRDefault="001C16D7" w:rsidP="001C16D7">
      <w:pPr>
        <w:spacing w:line="312" w:lineRule="auto"/>
        <w:rPr>
          <w:rFonts w:ascii="Verdana" w:hAnsi="Verdana" w:cs="Arial"/>
          <w:sz w:val="22"/>
        </w:rPr>
      </w:pPr>
      <w:r>
        <w:rPr>
          <w:rFonts w:ascii="Verdana" w:hAnsi="Verdana" w:cs="Arial"/>
          <w:sz w:val="22"/>
        </w:rPr>
        <w:t xml:space="preserve">Let us try to understand this. Because of the reference of </w:t>
      </w:r>
      <w:r>
        <w:rPr>
          <w:rFonts w:ascii="Courier New" w:hAnsi="Courier New" w:cs="Courier New"/>
          <w:noProof/>
          <w:sz w:val="20"/>
          <w:szCs w:val="20"/>
          <w:lang w:eastAsia="en-US"/>
        </w:rPr>
        <w:t>[Banks].[Bank Name].</w:t>
      </w:r>
      <w:r>
        <w:rPr>
          <w:rFonts w:ascii="Courier New" w:hAnsi="Courier New" w:cs="Courier New"/>
          <w:noProof/>
          <w:color w:val="800000"/>
          <w:sz w:val="20"/>
          <w:szCs w:val="20"/>
          <w:lang w:eastAsia="en-US"/>
        </w:rPr>
        <w:t>CurrentMember</w:t>
      </w:r>
      <w:r>
        <w:rPr>
          <w:rFonts w:ascii="Verdana" w:hAnsi="Verdana" w:cs="Arial"/>
          <w:sz w:val="22"/>
        </w:rPr>
        <w:t xml:space="preserve">, your context must resolve to a particular bank. In this formula, the particular bank implied by your context is ranked among all the banks </w:t>
      </w:r>
      <w:r w:rsidR="006E21E0">
        <w:rPr>
          <w:rFonts w:ascii="Verdana" w:hAnsi="Verdana" w:cs="Arial"/>
          <w:sz w:val="22"/>
        </w:rPr>
        <w:t xml:space="preserve">according to </w:t>
      </w:r>
      <w:r>
        <w:rPr>
          <w:rFonts w:ascii="Verdana" w:hAnsi="Verdana" w:cs="Arial"/>
          <w:sz w:val="22"/>
        </w:rPr>
        <w:t xml:space="preserve">the bank fees earned by each bank - the measure </w:t>
      </w:r>
      <w:r>
        <w:rPr>
          <w:rFonts w:ascii="Courier New" w:hAnsi="Courier New" w:cs="Courier New"/>
          <w:noProof/>
          <w:sz w:val="20"/>
          <w:szCs w:val="20"/>
          <w:lang w:eastAsia="en-US"/>
        </w:rPr>
        <w:t>[Measures].[Fees in USD]</w:t>
      </w:r>
      <w:r>
        <w:rPr>
          <w:rFonts w:ascii="Verdana" w:hAnsi="Verdana" w:cs="Arial"/>
          <w:sz w:val="22"/>
        </w:rPr>
        <w:t>.</w:t>
      </w:r>
    </w:p>
    <w:p w:rsidR="001C16D7" w:rsidRDefault="001C16D7" w:rsidP="001C16D7">
      <w:pPr>
        <w:spacing w:line="312" w:lineRule="auto"/>
        <w:rPr>
          <w:rFonts w:ascii="Verdana" w:hAnsi="Verdana" w:cs="Arial"/>
          <w:sz w:val="22"/>
        </w:rPr>
      </w:pPr>
    </w:p>
    <w:p w:rsidR="00341CF8" w:rsidRDefault="00702851" w:rsidP="001C16D7">
      <w:pPr>
        <w:spacing w:line="312" w:lineRule="auto"/>
        <w:rPr>
          <w:rFonts w:ascii="Verdana" w:hAnsi="Verdana" w:cs="Arial"/>
          <w:sz w:val="22"/>
        </w:rPr>
      </w:pPr>
      <w:r>
        <w:rPr>
          <w:rFonts w:ascii="Verdana" w:hAnsi="Verdana" w:cs="Arial"/>
          <w:sz w:val="22"/>
        </w:rPr>
        <w:t xml:space="preserve">If your context references more than one particular </w:t>
      </w:r>
      <w:proofErr w:type="gramStart"/>
      <w:r>
        <w:rPr>
          <w:rFonts w:ascii="Verdana" w:hAnsi="Verdana" w:cs="Arial"/>
          <w:sz w:val="22"/>
        </w:rPr>
        <w:t>banks</w:t>
      </w:r>
      <w:proofErr w:type="gramEnd"/>
      <w:r>
        <w:rPr>
          <w:rFonts w:ascii="Verdana" w:hAnsi="Verdana" w:cs="Arial"/>
          <w:sz w:val="22"/>
        </w:rPr>
        <w:t xml:space="preserve"> or references no bank at all, </w:t>
      </w:r>
      <w:r w:rsidR="006E21E0">
        <w:rPr>
          <w:rFonts w:ascii="Verdana" w:hAnsi="Verdana" w:cs="Arial"/>
          <w:sz w:val="22"/>
        </w:rPr>
        <w:t>f</w:t>
      </w:r>
      <w:r>
        <w:rPr>
          <w:rFonts w:ascii="Verdana" w:hAnsi="Verdana" w:cs="Arial"/>
          <w:sz w:val="22"/>
        </w:rPr>
        <w:t xml:space="preserve">or example, in the pivot table </w:t>
      </w:r>
      <w:r w:rsidR="006E21E0">
        <w:rPr>
          <w:rFonts w:ascii="Verdana" w:hAnsi="Verdana" w:cs="Arial"/>
          <w:sz w:val="22"/>
        </w:rPr>
        <w:t xml:space="preserve">filter area, </w:t>
      </w:r>
      <w:r>
        <w:rPr>
          <w:rFonts w:ascii="Verdana" w:hAnsi="Verdana" w:cs="Arial"/>
          <w:sz w:val="22"/>
        </w:rPr>
        <w:t xml:space="preserve">you select two banks, </w:t>
      </w:r>
      <w:r w:rsidR="00341CF8">
        <w:rPr>
          <w:rFonts w:ascii="Verdana" w:hAnsi="Verdana" w:cs="Arial"/>
          <w:sz w:val="22"/>
        </w:rPr>
        <w:t xml:space="preserve">or </w:t>
      </w:r>
      <w:r w:rsidR="001C16D7">
        <w:rPr>
          <w:rFonts w:ascii="Verdana" w:hAnsi="Verdana" w:cs="Arial"/>
          <w:sz w:val="22"/>
        </w:rPr>
        <w:t xml:space="preserve">your filters, rows and columns do not reference Bank dimension at all, then </w:t>
      </w:r>
      <w:r w:rsidR="00341CF8">
        <w:rPr>
          <w:rFonts w:ascii="Verdana" w:hAnsi="Verdana" w:cs="Arial"/>
          <w:sz w:val="22"/>
        </w:rPr>
        <w:t>you will not be able to use this rank order in your context.</w:t>
      </w:r>
    </w:p>
    <w:p w:rsidR="00341CF8" w:rsidRDefault="00341CF8" w:rsidP="001C16D7">
      <w:pPr>
        <w:spacing w:line="312" w:lineRule="auto"/>
        <w:rPr>
          <w:rFonts w:ascii="Verdana" w:hAnsi="Verdana" w:cs="Arial"/>
          <w:sz w:val="22"/>
        </w:rPr>
      </w:pPr>
    </w:p>
    <w:p w:rsidR="004D6FAE" w:rsidRPr="005610DE" w:rsidRDefault="004D6FAE" w:rsidP="004D6FAE">
      <w:pPr>
        <w:spacing w:line="312" w:lineRule="auto"/>
        <w:rPr>
          <w:rFonts w:ascii="Verdana" w:hAnsi="Verdana" w:cs="Arial"/>
          <w:b/>
          <w:sz w:val="22"/>
        </w:rPr>
      </w:pPr>
      <w:r>
        <w:rPr>
          <w:rFonts w:ascii="Verdana" w:hAnsi="Verdana" w:cs="Arial"/>
          <w:b/>
          <w:sz w:val="28"/>
        </w:rPr>
        <w:t>Interpretation of SOW% and Rank Order</w:t>
      </w:r>
    </w:p>
    <w:p w:rsidR="004D6FAE" w:rsidRDefault="004D6FAE" w:rsidP="004D6FAE">
      <w:pPr>
        <w:spacing w:line="312" w:lineRule="auto"/>
        <w:rPr>
          <w:rFonts w:ascii="Verdana" w:hAnsi="Verdana" w:cs="Arial"/>
          <w:sz w:val="22"/>
        </w:rPr>
      </w:pPr>
      <w:r>
        <w:rPr>
          <w:rFonts w:ascii="Verdana" w:hAnsi="Verdana" w:cs="Arial"/>
          <w:sz w:val="22"/>
        </w:rPr>
        <w:t xml:space="preserve"> </w:t>
      </w:r>
    </w:p>
    <w:p w:rsidR="008910E2" w:rsidRDefault="008910E2" w:rsidP="004D6FAE">
      <w:pPr>
        <w:spacing w:line="312" w:lineRule="auto"/>
        <w:rPr>
          <w:rFonts w:ascii="Verdana" w:hAnsi="Verdana" w:cs="Arial"/>
          <w:sz w:val="22"/>
        </w:rPr>
      </w:pPr>
      <w:r>
        <w:rPr>
          <w:rFonts w:ascii="Verdana" w:hAnsi="Verdana" w:cs="Arial"/>
          <w:sz w:val="22"/>
        </w:rPr>
        <w:t>Let us use some example to illustrate how to understand and interpret the SOW% and Rank Order.</w:t>
      </w:r>
    </w:p>
    <w:p w:rsidR="008910E2" w:rsidRDefault="008910E2" w:rsidP="004D6FAE">
      <w:pPr>
        <w:spacing w:line="312" w:lineRule="auto"/>
        <w:rPr>
          <w:rFonts w:ascii="Verdana" w:hAnsi="Verdana" w:cs="Arial"/>
          <w:sz w:val="22"/>
        </w:rPr>
      </w:pPr>
    </w:p>
    <w:p w:rsidR="00D100F1" w:rsidRDefault="00D100F1" w:rsidP="004D6FAE">
      <w:pPr>
        <w:spacing w:line="312" w:lineRule="auto"/>
        <w:rPr>
          <w:rFonts w:ascii="Verdana" w:hAnsi="Verdana" w:cs="Arial"/>
          <w:sz w:val="22"/>
        </w:rPr>
      </w:pPr>
      <w:r>
        <w:rPr>
          <w:rFonts w:ascii="Verdana" w:hAnsi="Verdana" w:cs="Arial"/>
          <w:sz w:val="22"/>
        </w:rPr>
        <w:t>Let us say, you select the Bank dimension and the bank name hierarchy as the rows, and filter by Deal Nation Region and Effective Date, and you are looking at Fees in USD, Rank Order and SOW%.</w:t>
      </w:r>
      <w:r w:rsidR="00E73318">
        <w:rPr>
          <w:rFonts w:ascii="Verdana" w:hAnsi="Verdana" w:cs="Arial"/>
          <w:sz w:val="22"/>
        </w:rPr>
        <w:t xml:space="preserve"> See the screenshot below.</w:t>
      </w:r>
    </w:p>
    <w:p w:rsidR="00E73318" w:rsidRDefault="00E73318" w:rsidP="004D6FAE">
      <w:pPr>
        <w:spacing w:line="312" w:lineRule="auto"/>
        <w:rPr>
          <w:rFonts w:ascii="Verdana" w:hAnsi="Verdana" w:cs="Arial"/>
          <w:sz w:val="22"/>
        </w:rPr>
      </w:pPr>
    </w:p>
    <w:p w:rsidR="00E73318" w:rsidRDefault="00066F45" w:rsidP="004D6FAE">
      <w:pPr>
        <w:spacing w:line="312" w:lineRule="auto"/>
        <w:rPr>
          <w:rFonts w:ascii="Verdana" w:hAnsi="Verdana" w:cs="Arial"/>
          <w:sz w:val="22"/>
        </w:rPr>
      </w:pPr>
      <w:r>
        <w:rPr>
          <w:rFonts w:ascii="Verdana" w:hAnsi="Verdana" w:cs="Arial"/>
          <w:noProof/>
          <w:sz w:val="22"/>
        </w:rPr>
        <w:lastRenderedPageBreak/>
        <w:drawing>
          <wp:inline distT="0" distB="0" distL="0" distR="0">
            <wp:extent cx="6394450" cy="25971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94450" cy="2597150"/>
                    </a:xfrm>
                    <a:prstGeom prst="rect">
                      <a:avLst/>
                    </a:prstGeom>
                    <a:noFill/>
                    <a:ln w="9525">
                      <a:noFill/>
                      <a:miter lim="800000"/>
                      <a:headEnd/>
                      <a:tailEnd/>
                    </a:ln>
                  </pic:spPr>
                </pic:pic>
              </a:graphicData>
            </a:graphic>
          </wp:inline>
        </w:drawing>
      </w:r>
    </w:p>
    <w:p w:rsidR="00D100F1" w:rsidRDefault="00D100F1" w:rsidP="004D6FAE">
      <w:pPr>
        <w:spacing w:line="312" w:lineRule="auto"/>
        <w:rPr>
          <w:rFonts w:ascii="Verdana" w:hAnsi="Verdana" w:cs="Arial"/>
          <w:sz w:val="22"/>
        </w:rPr>
      </w:pPr>
    </w:p>
    <w:p w:rsidR="00066F45" w:rsidRDefault="00066F45" w:rsidP="004D6FAE">
      <w:pPr>
        <w:spacing w:line="312" w:lineRule="auto"/>
        <w:rPr>
          <w:rFonts w:ascii="Verdana" w:hAnsi="Verdana" w:cs="Arial"/>
          <w:sz w:val="22"/>
        </w:rPr>
      </w:pPr>
      <w:r>
        <w:rPr>
          <w:rFonts w:ascii="Verdana" w:hAnsi="Verdana" w:cs="Arial"/>
          <w:sz w:val="22"/>
        </w:rPr>
        <w:t xml:space="preserve">This would be a </w:t>
      </w:r>
      <w:r w:rsidRPr="00895805">
        <w:rPr>
          <w:rFonts w:ascii="Verdana" w:hAnsi="Verdana" w:cs="Arial"/>
          <w:b/>
          <w:sz w:val="22"/>
          <w:u w:val="single"/>
        </w:rPr>
        <w:t xml:space="preserve">perfect </w:t>
      </w:r>
      <w:r w:rsidR="00895805" w:rsidRPr="00895805">
        <w:rPr>
          <w:rFonts w:ascii="Verdana" w:hAnsi="Verdana" w:cs="Arial"/>
          <w:b/>
          <w:sz w:val="22"/>
          <w:u w:val="single"/>
        </w:rPr>
        <w:t>case</w:t>
      </w:r>
      <w:r w:rsidR="00895805">
        <w:rPr>
          <w:rFonts w:ascii="Verdana" w:hAnsi="Verdana" w:cs="Arial"/>
          <w:sz w:val="22"/>
        </w:rPr>
        <w:t xml:space="preserve"> </w:t>
      </w:r>
      <w:r>
        <w:rPr>
          <w:rFonts w:ascii="Verdana" w:hAnsi="Verdana" w:cs="Arial"/>
          <w:sz w:val="22"/>
        </w:rPr>
        <w:t>to use Rank Order and SOW%, because each cell within the context resolves to a specific bank.</w:t>
      </w:r>
      <w:r w:rsidR="00895805">
        <w:rPr>
          <w:rFonts w:ascii="Verdana" w:hAnsi="Verdana" w:cs="Arial"/>
          <w:sz w:val="22"/>
        </w:rPr>
        <w:t xml:space="preserve"> (Because of various cases which don’t fall into this perfect case, the need for a generic SOW% arises.</w:t>
      </w:r>
      <w:r w:rsidR="00E101F4">
        <w:rPr>
          <w:rFonts w:ascii="Verdana" w:hAnsi="Verdana" w:cs="Arial"/>
          <w:sz w:val="22"/>
        </w:rPr>
        <w:t xml:space="preserve"> See below.</w:t>
      </w:r>
      <w:r w:rsidR="00895805">
        <w:rPr>
          <w:rFonts w:ascii="Verdana" w:hAnsi="Verdana" w:cs="Arial"/>
          <w:sz w:val="22"/>
        </w:rPr>
        <w:t>)</w:t>
      </w:r>
    </w:p>
    <w:p w:rsidR="00066F45" w:rsidRDefault="00066F45" w:rsidP="004D6FAE">
      <w:pPr>
        <w:spacing w:line="312" w:lineRule="auto"/>
        <w:rPr>
          <w:rFonts w:ascii="Verdana" w:hAnsi="Verdana" w:cs="Arial"/>
          <w:sz w:val="22"/>
        </w:rPr>
      </w:pPr>
    </w:p>
    <w:p w:rsidR="002A6E9F" w:rsidRDefault="00F774F7" w:rsidP="005059AB">
      <w:pPr>
        <w:spacing w:line="312" w:lineRule="auto"/>
        <w:rPr>
          <w:rFonts w:ascii="Verdana" w:hAnsi="Verdana" w:cs="Arial"/>
          <w:sz w:val="22"/>
        </w:rPr>
      </w:pPr>
      <w:r>
        <w:rPr>
          <w:rFonts w:ascii="Verdana" w:hAnsi="Verdana" w:cs="Arial"/>
          <w:sz w:val="22"/>
        </w:rPr>
        <w:t>Now you replace Bank Name with Product Group in the row, and let us see what we get:</w:t>
      </w:r>
    </w:p>
    <w:p w:rsidR="00066F45" w:rsidRDefault="00066F45" w:rsidP="005059AB">
      <w:pPr>
        <w:spacing w:line="312" w:lineRule="auto"/>
        <w:rPr>
          <w:rFonts w:ascii="Verdana" w:hAnsi="Verdana" w:cs="Arial"/>
          <w:sz w:val="22"/>
        </w:rPr>
      </w:pPr>
    </w:p>
    <w:p w:rsidR="00066F45" w:rsidRDefault="00F774F7" w:rsidP="005059AB">
      <w:pPr>
        <w:spacing w:line="312" w:lineRule="auto"/>
        <w:rPr>
          <w:rFonts w:ascii="Verdana" w:hAnsi="Verdana" w:cs="Arial"/>
          <w:sz w:val="22"/>
        </w:rPr>
      </w:pPr>
      <w:r>
        <w:rPr>
          <w:rFonts w:ascii="Verdana" w:hAnsi="Verdana" w:cs="Arial"/>
          <w:noProof/>
          <w:sz w:val="22"/>
        </w:rPr>
        <w:drawing>
          <wp:inline distT="0" distB="0" distL="0" distR="0">
            <wp:extent cx="6394450" cy="161925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394450" cy="1619250"/>
                    </a:xfrm>
                    <a:prstGeom prst="rect">
                      <a:avLst/>
                    </a:prstGeom>
                    <a:noFill/>
                    <a:ln w="9525">
                      <a:noFill/>
                      <a:miter lim="800000"/>
                      <a:headEnd/>
                      <a:tailEnd/>
                    </a:ln>
                  </pic:spPr>
                </pic:pic>
              </a:graphicData>
            </a:graphic>
          </wp:inline>
        </w:drawing>
      </w:r>
    </w:p>
    <w:p w:rsidR="001C16D7" w:rsidRDefault="001C16D7" w:rsidP="005059AB">
      <w:pPr>
        <w:spacing w:line="312" w:lineRule="auto"/>
        <w:rPr>
          <w:rFonts w:ascii="Verdana" w:hAnsi="Verdana" w:cs="Arial"/>
          <w:sz w:val="22"/>
        </w:rPr>
      </w:pPr>
    </w:p>
    <w:p w:rsidR="00F774F7" w:rsidRDefault="00F774F7" w:rsidP="005059AB">
      <w:pPr>
        <w:spacing w:line="312" w:lineRule="auto"/>
        <w:rPr>
          <w:rFonts w:ascii="Verdana" w:hAnsi="Verdana" w:cs="Arial"/>
          <w:sz w:val="22"/>
        </w:rPr>
      </w:pPr>
      <w:r>
        <w:rPr>
          <w:rFonts w:ascii="Verdana" w:hAnsi="Verdana" w:cs="Arial"/>
          <w:sz w:val="22"/>
        </w:rPr>
        <w:t>You get meaningless SOW%, and you don’t get Rank Order. That’s because each cell in the context does not resolve to a specific bank. In fact, it resolves to all the banks. That</w:t>
      </w:r>
      <w:r w:rsidR="00863CF4">
        <w:rPr>
          <w:rFonts w:ascii="Verdana" w:hAnsi="Verdana" w:cs="Arial"/>
          <w:sz w:val="22"/>
        </w:rPr>
        <w:t>’</w:t>
      </w:r>
      <w:r>
        <w:rPr>
          <w:rFonts w:ascii="Verdana" w:hAnsi="Verdana" w:cs="Arial"/>
          <w:sz w:val="22"/>
        </w:rPr>
        <w:t>s why you see 100% as the SOW%.</w:t>
      </w:r>
    </w:p>
    <w:p w:rsidR="00F774F7" w:rsidRDefault="00F774F7" w:rsidP="005059AB">
      <w:pPr>
        <w:spacing w:line="312" w:lineRule="auto"/>
        <w:rPr>
          <w:rFonts w:ascii="Verdana" w:hAnsi="Verdana" w:cs="Arial"/>
          <w:sz w:val="22"/>
        </w:rPr>
      </w:pPr>
    </w:p>
    <w:p w:rsidR="00F774F7" w:rsidRDefault="00F774F7" w:rsidP="005059AB">
      <w:pPr>
        <w:spacing w:line="312" w:lineRule="auto"/>
        <w:rPr>
          <w:rFonts w:ascii="Verdana" w:hAnsi="Verdana" w:cs="Arial"/>
          <w:sz w:val="22"/>
        </w:rPr>
      </w:pPr>
      <w:r>
        <w:rPr>
          <w:rFonts w:ascii="Verdana" w:hAnsi="Verdana" w:cs="Arial"/>
          <w:sz w:val="22"/>
        </w:rPr>
        <w:t>Now let us put an extra filter in the filter area, and filter by a particular bank – say BMO Capital Markets, you then get this screen</w:t>
      </w:r>
      <w:r w:rsidR="00BD6A24">
        <w:rPr>
          <w:rFonts w:ascii="Verdana" w:hAnsi="Verdana" w:cs="Arial"/>
          <w:sz w:val="22"/>
        </w:rPr>
        <w:t>:</w:t>
      </w:r>
    </w:p>
    <w:p w:rsidR="00F774F7" w:rsidRDefault="00F774F7" w:rsidP="005059AB">
      <w:pPr>
        <w:spacing w:line="312" w:lineRule="auto"/>
        <w:rPr>
          <w:rFonts w:ascii="Verdana" w:hAnsi="Verdana" w:cs="Arial"/>
          <w:sz w:val="22"/>
        </w:rPr>
      </w:pPr>
    </w:p>
    <w:p w:rsidR="00F774F7" w:rsidRDefault="00F774F7" w:rsidP="005059AB">
      <w:pPr>
        <w:spacing w:line="312" w:lineRule="auto"/>
        <w:rPr>
          <w:rFonts w:ascii="Verdana" w:hAnsi="Verdana" w:cs="Arial"/>
          <w:sz w:val="22"/>
        </w:rPr>
      </w:pPr>
      <w:r>
        <w:rPr>
          <w:rFonts w:ascii="Verdana" w:hAnsi="Verdana" w:cs="Arial"/>
          <w:noProof/>
          <w:sz w:val="22"/>
        </w:rPr>
        <w:lastRenderedPageBreak/>
        <w:drawing>
          <wp:inline distT="0" distB="0" distL="0" distR="0">
            <wp:extent cx="6400800" cy="1631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400800" cy="1631950"/>
                    </a:xfrm>
                    <a:prstGeom prst="rect">
                      <a:avLst/>
                    </a:prstGeom>
                    <a:noFill/>
                    <a:ln w="9525">
                      <a:noFill/>
                      <a:miter lim="800000"/>
                      <a:headEnd/>
                      <a:tailEnd/>
                    </a:ln>
                  </pic:spPr>
                </pic:pic>
              </a:graphicData>
            </a:graphic>
          </wp:inline>
        </w:drawing>
      </w:r>
    </w:p>
    <w:p w:rsidR="00F774F7" w:rsidRDefault="00F774F7" w:rsidP="005059AB">
      <w:pPr>
        <w:spacing w:line="312" w:lineRule="auto"/>
        <w:rPr>
          <w:rFonts w:ascii="Verdana" w:hAnsi="Verdana" w:cs="Arial"/>
          <w:sz w:val="22"/>
        </w:rPr>
      </w:pPr>
    </w:p>
    <w:p w:rsidR="008C78DC" w:rsidRDefault="008C78DC" w:rsidP="005059AB">
      <w:pPr>
        <w:spacing w:line="312" w:lineRule="auto"/>
        <w:rPr>
          <w:rFonts w:ascii="Verdana" w:hAnsi="Verdana" w:cs="Arial"/>
          <w:sz w:val="22"/>
        </w:rPr>
      </w:pPr>
      <w:r>
        <w:rPr>
          <w:rFonts w:ascii="Verdana" w:hAnsi="Verdana" w:cs="Arial"/>
          <w:sz w:val="22"/>
        </w:rPr>
        <w:t xml:space="preserve">If you say: “Wait a minute. EQUITY has $8.58 million, more than double of BONDS, how come it is ranked 4 and has </w:t>
      </w:r>
      <w:r w:rsidR="00383E0E">
        <w:rPr>
          <w:rFonts w:ascii="Verdana" w:hAnsi="Verdana" w:cs="Arial"/>
          <w:sz w:val="22"/>
        </w:rPr>
        <w:t xml:space="preserve">lower </w:t>
      </w:r>
      <w:r>
        <w:rPr>
          <w:rFonts w:ascii="Verdana" w:hAnsi="Verdana" w:cs="Arial"/>
          <w:sz w:val="22"/>
        </w:rPr>
        <w:t>SOW% than BONDS? This doesn’t look right.”</w:t>
      </w:r>
    </w:p>
    <w:p w:rsidR="008C78DC" w:rsidRDefault="008C78DC" w:rsidP="005059AB">
      <w:pPr>
        <w:spacing w:line="312" w:lineRule="auto"/>
        <w:rPr>
          <w:rFonts w:ascii="Verdana" w:hAnsi="Verdana" w:cs="Arial"/>
          <w:sz w:val="22"/>
        </w:rPr>
      </w:pPr>
    </w:p>
    <w:p w:rsidR="008C78DC" w:rsidRDefault="008C78DC" w:rsidP="005059AB">
      <w:pPr>
        <w:spacing w:line="312" w:lineRule="auto"/>
        <w:rPr>
          <w:rFonts w:ascii="Verdana" w:hAnsi="Verdana" w:cs="Arial"/>
          <w:sz w:val="22"/>
        </w:rPr>
      </w:pPr>
      <w:r>
        <w:rPr>
          <w:rFonts w:ascii="Verdana" w:hAnsi="Verdana" w:cs="Arial"/>
          <w:sz w:val="22"/>
        </w:rPr>
        <w:t>Then you have a wrong perspective and interpreted the Rank Order and SOW% wrong.</w:t>
      </w:r>
    </w:p>
    <w:p w:rsidR="008C78DC" w:rsidRDefault="008C78DC" w:rsidP="005059AB">
      <w:pPr>
        <w:spacing w:line="312" w:lineRule="auto"/>
        <w:rPr>
          <w:rFonts w:ascii="Verdana" w:hAnsi="Verdana" w:cs="Arial"/>
          <w:sz w:val="22"/>
        </w:rPr>
      </w:pPr>
    </w:p>
    <w:p w:rsidR="008C78DC" w:rsidRDefault="008C78DC" w:rsidP="005059AB">
      <w:pPr>
        <w:spacing w:line="312" w:lineRule="auto"/>
        <w:rPr>
          <w:rFonts w:ascii="Verdana" w:hAnsi="Verdana" w:cs="Arial"/>
          <w:sz w:val="22"/>
        </w:rPr>
      </w:pPr>
      <w:r>
        <w:rPr>
          <w:rFonts w:ascii="Verdana" w:hAnsi="Verdana" w:cs="Arial"/>
          <w:sz w:val="22"/>
        </w:rPr>
        <w:t>The rank 4 means that BMO Capital Markets ranked number 4 among all the banks in the EQUITY deal category within the context (i.e. in April 2011 in Canada), and all the fees earned by BMO Capital Markets in the EQUITY deal category is 6.80% of all the fees earned by all the banks in the EQUITY deal category within the context (i.e. in April 2011 in Canada</w:t>
      </w:r>
      <w:r w:rsidR="009575DA">
        <w:rPr>
          <w:rFonts w:ascii="Verdana" w:hAnsi="Verdana" w:cs="Arial"/>
          <w:sz w:val="22"/>
        </w:rPr>
        <w:t>).</w:t>
      </w:r>
      <w:r w:rsidR="00383E0E">
        <w:rPr>
          <w:rFonts w:ascii="Verdana" w:hAnsi="Verdana" w:cs="Arial"/>
          <w:sz w:val="22"/>
        </w:rPr>
        <w:t xml:space="preserve"> </w:t>
      </w:r>
    </w:p>
    <w:p w:rsidR="00944A47" w:rsidRDefault="00944A47" w:rsidP="005059AB">
      <w:pPr>
        <w:spacing w:line="312" w:lineRule="auto"/>
        <w:rPr>
          <w:rFonts w:ascii="Verdana" w:hAnsi="Verdana" w:cs="Arial"/>
          <w:sz w:val="22"/>
        </w:rPr>
      </w:pPr>
    </w:p>
    <w:p w:rsidR="00944A47" w:rsidRDefault="00944A47" w:rsidP="005059AB">
      <w:pPr>
        <w:spacing w:line="312" w:lineRule="auto"/>
        <w:rPr>
          <w:rFonts w:ascii="Verdana" w:hAnsi="Verdana" w:cs="Arial"/>
          <w:sz w:val="22"/>
        </w:rPr>
      </w:pPr>
      <w:r>
        <w:rPr>
          <w:rFonts w:ascii="Verdana" w:hAnsi="Verdana" w:cs="Arial"/>
          <w:sz w:val="22"/>
        </w:rPr>
        <w:t>Now let us change the Bank Na</w:t>
      </w:r>
      <w:r w:rsidR="000762E8">
        <w:rPr>
          <w:rFonts w:ascii="Verdana" w:hAnsi="Verdana" w:cs="Arial"/>
          <w:sz w:val="22"/>
        </w:rPr>
        <w:t>me filter to include two banks: BMO Capital Markets and RBC Capital Markets.</w:t>
      </w:r>
      <w:r w:rsidR="007151CC">
        <w:rPr>
          <w:rFonts w:ascii="Verdana" w:hAnsi="Verdana" w:cs="Arial"/>
          <w:sz w:val="22"/>
        </w:rPr>
        <w:t xml:space="preserve"> You then get this:</w:t>
      </w:r>
    </w:p>
    <w:p w:rsidR="007151CC" w:rsidRDefault="007151CC" w:rsidP="005059AB">
      <w:pPr>
        <w:spacing w:line="312" w:lineRule="auto"/>
        <w:rPr>
          <w:rFonts w:ascii="Verdana" w:hAnsi="Verdana" w:cs="Arial"/>
          <w:sz w:val="22"/>
        </w:rPr>
      </w:pPr>
    </w:p>
    <w:p w:rsidR="007151CC" w:rsidRDefault="000D582D" w:rsidP="005059AB">
      <w:pPr>
        <w:spacing w:line="312" w:lineRule="auto"/>
        <w:rPr>
          <w:rFonts w:ascii="Verdana" w:hAnsi="Verdana" w:cs="Arial"/>
          <w:sz w:val="22"/>
        </w:rPr>
      </w:pPr>
      <w:r>
        <w:rPr>
          <w:rFonts w:ascii="Verdana" w:hAnsi="Verdana" w:cs="Arial"/>
          <w:noProof/>
          <w:sz w:val="22"/>
        </w:rPr>
        <w:drawing>
          <wp:inline distT="0" distB="0" distL="0" distR="0">
            <wp:extent cx="6394450" cy="16764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394450" cy="1676400"/>
                    </a:xfrm>
                    <a:prstGeom prst="rect">
                      <a:avLst/>
                    </a:prstGeom>
                    <a:noFill/>
                    <a:ln w="9525">
                      <a:noFill/>
                      <a:miter lim="800000"/>
                      <a:headEnd/>
                      <a:tailEnd/>
                    </a:ln>
                  </pic:spPr>
                </pic:pic>
              </a:graphicData>
            </a:graphic>
          </wp:inline>
        </w:drawing>
      </w:r>
    </w:p>
    <w:p w:rsidR="008C78DC" w:rsidRDefault="008C78DC" w:rsidP="005059AB">
      <w:pPr>
        <w:spacing w:line="312" w:lineRule="auto"/>
        <w:rPr>
          <w:rFonts w:ascii="Verdana" w:hAnsi="Verdana" w:cs="Arial"/>
          <w:sz w:val="22"/>
        </w:rPr>
      </w:pPr>
    </w:p>
    <w:p w:rsidR="00863CF4" w:rsidRDefault="000D582D" w:rsidP="000D582D">
      <w:pPr>
        <w:spacing w:line="312" w:lineRule="auto"/>
        <w:rPr>
          <w:rFonts w:ascii="Verdana" w:hAnsi="Verdana" w:cs="Arial"/>
          <w:sz w:val="22"/>
        </w:rPr>
      </w:pPr>
      <w:r>
        <w:rPr>
          <w:rFonts w:ascii="Verdana" w:hAnsi="Verdana" w:cs="Arial"/>
          <w:sz w:val="22"/>
        </w:rPr>
        <w:t xml:space="preserve">Now you don’t get any rank order, because the rank order applies only to a particular bank. But you still get </w:t>
      </w:r>
      <w:r w:rsidR="00863CF4">
        <w:rPr>
          <w:rFonts w:ascii="Verdana" w:hAnsi="Verdana" w:cs="Arial"/>
          <w:sz w:val="22"/>
        </w:rPr>
        <w:t xml:space="preserve">SOW%, although you may feel that these percentages do not make sense. “The Bank Fees in the Grand Total line is bigger. How could its SOW% be less than some SOW% at the row level?” </w:t>
      </w:r>
    </w:p>
    <w:p w:rsidR="00863CF4" w:rsidRDefault="00863CF4" w:rsidP="000D582D">
      <w:pPr>
        <w:spacing w:line="312" w:lineRule="auto"/>
        <w:rPr>
          <w:rFonts w:ascii="Verdana" w:hAnsi="Verdana" w:cs="Arial"/>
          <w:sz w:val="22"/>
        </w:rPr>
      </w:pPr>
    </w:p>
    <w:p w:rsidR="00863CF4" w:rsidRDefault="00863CF4" w:rsidP="000D582D">
      <w:pPr>
        <w:spacing w:line="312" w:lineRule="auto"/>
        <w:rPr>
          <w:rFonts w:ascii="Verdana" w:hAnsi="Verdana" w:cs="Arial"/>
          <w:sz w:val="22"/>
        </w:rPr>
      </w:pPr>
      <w:r>
        <w:rPr>
          <w:rFonts w:ascii="Verdana" w:hAnsi="Verdana" w:cs="Arial"/>
          <w:sz w:val="22"/>
        </w:rPr>
        <w:lastRenderedPageBreak/>
        <w:t>Read on, you will see that these percentages do make sense.</w:t>
      </w:r>
    </w:p>
    <w:p w:rsidR="00863CF4" w:rsidRDefault="00863CF4" w:rsidP="000D582D">
      <w:pPr>
        <w:spacing w:line="312" w:lineRule="auto"/>
        <w:rPr>
          <w:rFonts w:ascii="Verdana" w:hAnsi="Verdana" w:cs="Arial"/>
          <w:sz w:val="22"/>
        </w:rPr>
      </w:pPr>
    </w:p>
    <w:p w:rsidR="000D582D" w:rsidRDefault="000D582D" w:rsidP="000D582D">
      <w:pPr>
        <w:spacing w:line="312" w:lineRule="auto"/>
        <w:rPr>
          <w:rFonts w:ascii="Verdana" w:hAnsi="Verdana" w:cs="Arial"/>
          <w:sz w:val="22"/>
        </w:rPr>
      </w:pPr>
      <w:r>
        <w:rPr>
          <w:rFonts w:ascii="Verdana" w:hAnsi="Verdana" w:cs="Arial"/>
          <w:sz w:val="22"/>
        </w:rPr>
        <w:t xml:space="preserve">For example, 17.62% is the percentage of all the fees earned by BMO Capital Markets and RBC Capital Markets combined in the EQUITY deal category relative to all the fees earned by all the banks in the EQUITY deal category within the given context (i.e. in April 2011 in Canada). </w:t>
      </w:r>
      <w:r w:rsidR="00863CF4">
        <w:rPr>
          <w:rFonts w:ascii="Verdana" w:hAnsi="Verdana" w:cs="Arial"/>
          <w:sz w:val="22"/>
        </w:rPr>
        <w:t xml:space="preserve">The reason why </w:t>
      </w:r>
      <w:r>
        <w:rPr>
          <w:rFonts w:ascii="Verdana" w:hAnsi="Verdana" w:cs="Arial"/>
          <w:sz w:val="22"/>
        </w:rPr>
        <w:t xml:space="preserve">the SOW% at the Grand Total line is </w:t>
      </w:r>
      <w:r w:rsidR="008C2036">
        <w:rPr>
          <w:rFonts w:ascii="Verdana" w:hAnsi="Verdana" w:cs="Arial"/>
          <w:sz w:val="22"/>
        </w:rPr>
        <w:t xml:space="preserve">even </w:t>
      </w:r>
      <w:r>
        <w:rPr>
          <w:rFonts w:ascii="Verdana" w:hAnsi="Verdana" w:cs="Arial"/>
          <w:sz w:val="22"/>
        </w:rPr>
        <w:t xml:space="preserve">less than the </w:t>
      </w:r>
      <w:r w:rsidR="00863CF4">
        <w:rPr>
          <w:rFonts w:ascii="Verdana" w:hAnsi="Verdana" w:cs="Arial"/>
          <w:sz w:val="22"/>
        </w:rPr>
        <w:t xml:space="preserve">SOW% on some rows, is </w:t>
      </w:r>
      <w:r w:rsidR="008C2036">
        <w:rPr>
          <w:rFonts w:ascii="Verdana" w:hAnsi="Verdana" w:cs="Arial"/>
          <w:sz w:val="22"/>
        </w:rPr>
        <w:t xml:space="preserve">because </w:t>
      </w:r>
      <w:r>
        <w:rPr>
          <w:rFonts w:ascii="Verdana" w:hAnsi="Verdana" w:cs="Arial"/>
          <w:sz w:val="22"/>
        </w:rPr>
        <w:t xml:space="preserve">29.01% is the percentage of all the fees earned by BMO Capital Markets and RBC Capital Markets combined in </w:t>
      </w:r>
      <w:r w:rsidR="008C2036">
        <w:rPr>
          <w:rFonts w:ascii="Verdana" w:hAnsi="Verdana" w:cs="Arial"/>
          <w:sz w:val="22"/>
        </w:rPr>
        <w:t xml:space="preserve">all the </w:t>
      </w:r>
      <w:r>
        <w:rPr>
          <w:rFonts w:ascii="Verdana" w:hAnsi="Verdana" w:cs="Arial"/>
          <w:sz w:val="22"/>
        </w:rPr>
        <w:t xml:space="preserve">deal </w:t>
      </w:r>
      <w:r w:rsidR="008C2036">
        <w:rPr>
          <w:rFonts w:ascii="Verdana" w:hAnsi="Verdana" w:cs="Arial"/>
          <w:sz w:val="22"/>
        </w:rPr>
        <w:t xml:space="preserve">categories </w:t>
      </w:r>
      <w:r>
        <w:rPr>
          <w:rFonts w:ascii="Verdana" w:hAnsi="Verdana" w:cs="Arial"/>
          <w:sz w:val="22"/>
        </w:rPr>
        <w:t xml:space="preserve">relative to all the fees earned by all the banks in </w:t>
      </w:r>
      <w:r w:rsidR="008C2036">
        <w:rPr>
          <w:rFonts w:ascii="Verdana" w:hAnsi="Verdana" w:cs="Arial"/>
          <w:sz w:val="22"/>
        </w:rPr>
        <w:t xml:space="preserve">all the deal categories </w:t>
      </w:r>
      <w:r>
        <w:rPr>
          <w:rFonts w:ascii="Verdana" w:hAnsi="Verdana" w:cs="Arial"/>
          <w:sz w:val="22"/>
        </w:rPr>
        <w:t>within the given context (i.e. in April 2011 in Canada</w:t>
      </w:r>
      <w:r w:rsidR="008C2036">
        <w:rPr>
          <w:rFonts w:ascii="Verdana" w:hAnsi="Verdana" w:cs="Arial"/>
          <w:sz w:val="22"/>
        </w:rPr>
        <w:t>).</w:t>
      </w:r>
      <w:r w:rsidR="00863CF4">
        <w:rPr>
          <w:rFonts w:ascii="Verdana" w:hAnsi="Verdana" w:cs="Arial"/>
          <w:sz w:val="22"/>
        </w:rPr>
        <w:t xml:space="preserve"> </w:t>
      </w:r>
    </w:p>
    <w:p w:rsidR="00863CF4" w:rsidRDefault="00863CF4" w:rsidP="000D582D">
      <w:pPr>
        <w:spacing w:line="312" w:lineRule="auto"/>
        <w:rPr>
          <w:rFonts w:ascii="Verdana" w:hAnsi="Verdana" w:cs="Arial"/>
          <w:sz w:val="22"/>
        </w:rPr>
      </w:pPr>
    </w:p>
    <w:p w:rsidR="00945E89" w:rsidRDefault="00863CF4" w:rsidP="000D582D">
      <w:pPr>
        <w:spacing w:line="312" w:lineRule="auto"/>
        <w:rPr>
          <w:rFonts w:ascii="Verdana" w:hAnsi="Verdana" w:cs="Arial"/>
          <w:sz w:val="22"/>
        </w:rPr>
      </w:pPr>
      <w:r>
        <w:rPr>
          <w:rFonts w:ascii="Verdana" w:hAnsi="Verdana" w:cs="Arial"/>
          <w:sz w:val="22"/>
        </w:rPr>
        <w:t xml:space="preserve">Would the female percentage among working professionals across all industries be greater than the female percentage among working professionals in a specific industry? Not necessarily. </w:t>
      </w:r>
      <w:r w:rsidR="009276A3">
        <w:rPr>
          <w:rFonts w:ascii="Verdana" w:hAnsi="Verdana" w:cs="Arial"/>
          <w:sz w:val="22"/>
        </w:rPr>
        <w:t xml:space="preserve">Think about nursing industry. </w:t>
      </w:r>
    </w:p>
    <w:p w:rsidR="00945E89" w:rsidRDefault="00945E89" w:rsidP="000D582D">
      <w:pPr>
        <w:spacing w:line="312" w:lineRule="auto"/>
        <w:rPr>
          <w:rFonts w:ascii="Verdana" w:hAnsi="Verdana" w:cs="Arial"/>
          <w:sz w:val="22"/>
        </w:rPr>
      </w:pPr>
    </w:p>
    <w:p w:rsidR="00945E89" w:rsidRDefault="00945E89" w:rsidP="000D582D">
      <w:pPr>
        <w:spacing w:line="312" w:lineRule="auto"/>
        <w:rPr>
          <w:rFonts w:ascii="Verdana" w:hAnsi="Verdana" w:cs="Arial"/>
          <w:sz w:val="22"/>
        </w:rPr>
      </w:pPr>
      <w:r>
        <w:rPr>
          <w:rFonts w:ascii="Verdana" w:hAnsi="Verdana" w:cs="Arial"/>
          <w:sz w:val="22"/>
        </w:rPr>
        <w:t xml:space="preserve">That </w:t>
      </w:r>
      <w:r w:rsidR="009276A3">
        <w:rPr>
          <w:rFonts w:ascii="Verdana" w:hAnsi="Verdana" w:cs="Arial"/>
          <w:sz w:val="22"/>
        </w:rPr>
        <w:t xml:space="preserve">explains </w:t>
      </w:r>
      <w:r>
        <w:rPr>
          <w:rFonts w:ascii="Verdana" w:hAnsi="Verdana" w:cs="Arial"/>
          <w:sz w:val="22"/>
        </w:rPr>
        <w:t>why SOW% at the Grand Total line could be less than some SOW% at individual rows.</w:t>
      </w:r>
    </w:p>
    <w:p w:rsidR="00945E89" w:rsidRDefault="00945E89" w:rsidP="000D582D">
      <w:pPr>
        <w:spacing w:line="312" w:lineRule="auto"/>
        <w:rPr>
          <w:rFonts w:ascii="Verdana" w:hAnsi="Verdana" w:cs="Arial"/>
          <w:sz w:val="22"/>
        </w:rPr>
      </w:pPr>
    </w:p>
    <w:p w:rsidR="008C2036" w:rsidRPr="00895805" w:rsidRDefault="00895805" w:rsidP="005059AB">
      <w:pPr>
        <w:spacing w:line="312" w:lineRule="auto"/>
        <w:rPr>
          <w:rFonts w:ascii="Verdana" w:hAnsi="Verdana" w:cs="Arial"/>
          <w:b/>
          <w:sz w:val="22"/>
        </w:rPr>
      </w:pPr>
      <w:r w:rsidRPr="00895805">
        <w:rPr>
          <w:rFonts w:ascii="Verdana" w:hAnsi="Verdana" w:cs="Arial"/>
          <w:b/>
          <w:sz w:val="28"/>
        </w:rPr>
        <w:t>The Need for generic SOW%</w:t>
      </w:r>
    </w:p>
    <w:p w:rsidR="008C2036" w:rsidRDefault="008C2036" w:rsidP="005059AB">
      <w:pPr>
        <w:spacing w:line="312" w:lineRule="auto"/>
        <w:rPr>
          <w:rFonts w:ascii="Verdana" w:hAnsi="Verdana" w:cs="Arial"/>
          <w:sz w:val="22"/>
        </w:rPr>
      </w:pPr>
    </w:p>
    <w:p w:rsidR="008C2036" w:rsidRDefault="00A83A63" w:rsidP="005059AB">
      <w:pPr>
        <w:spacing w:line="312" w:lineRule="auto"/>
        <w:rPr>
          <w:rFonts w:ascii="Verdana" w:hAnsi="Verdana" w:cs="Arial"/>
          <w:sz w:val="22"/>
        </w:rPr>
      </w:pPr>
      <w:r>
        <w:rPr>
          <w:rFonts w:ascii="Verdana" w:hAnsi="Verdana" w:cs="Arial"/>
          <w:sz w:val="22"/>
        </w:rPr>
        <w:t>I have illustrated various case scenarios through simple examples above. On these various case scenarios, the SOW% would fall off what you expected, and then you could not understand these percentages.</w:t>
      </w:r>
    </w:p>
    <w:p w:rsidR="00A83A63" w:rsidRDefault="00A83A63" w:rsidP="005059AB">
      <w:pPr>
        <w:spacing w:line="312" w:lineRule="auto"/>
        <w:rPr>
          <w:rFonts w:ascii="Verdana" w:hAnsi="Verdana" w:cs="Arial"/>
          <w:sz w:val="22"/>
        </w:rPr>
      </w:pPr>
    </w:p>
    <w:p w:rsidR="00A83A63" w:rsidRDefault="00A83A63" w:rsidP="005059AB">
      <w:pPr>
        <w:spacing w:line="312" w:lineRule="auto"/>
        <w:rPr>
          <w:rFonts w:ascii="Verdana" w:hAnsi="Verdana" w:cs="Arial"/>
          <w:sz w:val="22"/>
        </w:rPr>
      </w:pPr>
      <w:r>
        <w:rPr>
          <w:rFonts w:ascii="Verdana" w:hAnsi="Verdana" w:cs="Arial"/>
          <w:sz w:val="22"/>
        </w:rPr>
        <w:t>Therefore a new need arises. That is, a generic SOW% which can be applied to whatever rows and filters selected by user.</w:t>
      </w:r>
    </w:p>
    <w:p w:rsidR="00A83A63" w:rsidRDefault="00A83A63" w:rsidP="005059AB">
      <w:pPr>
        <w:spacing w:line="312" w:lineRule="auto"/>
        <w:rPr>
          <w:rFonts w:ascii="Verdana" w:hAnsi="Verdana" w:cs="Arial"/>
          <w:sz w:val="22"/>
        </w:rPr>
      </w:pPr>
    </w:p>
    <w:p w:rsidR="00A83A63" w:rsidRDefault="00A83A63" w:rsidP="005059AB">
      <w:pPr>
        <w:spacing w:line="312" w:lineRule="auto"/>
        <w:rPr>
          <w:rFonts w:ascii="Verdana" w:hAnsi="Verdana" w:cs="Arial"/>
          <w:sz w:val="22"/>
        </w:rPr>
      </w:pPr>
      <w:r>
        <w:rPr>
          <w:rFonts w:ascii="Verdana" w:hAnsi="Verdana" w:cs="Arial"/>
          <w:sz w:val="22"/>
        </w:rPr>
        <w:t>Since the user can select any dimension hierarchies or attributes for the filters, rows, and columns. We need to create dynamic calculation that responds to the context selected by user.</w:t>
      </w:r>
    </w:p>
    <w:p w:rsidR="00A83A63" w:rsidRDefault="00A83A63" w:rsidP="005059AB">
      <w:pPr>
        <w:spacing w:line="312" w:lineRule="auto"/>
        <w:rPr>
          <w:rFonts w:ascii="Verdana" w:hAnsi="Verdana" w:cs="Arial"/>
          <w:sz w:val="22"/>
        </w:rPr>
      </w:pPr>
    </w:p>
    <w:p w:rsidR="00A83A63" w:rsidRDefault="00A83A63" w:rsidP="005059AB">
      <w:pPr>
        <w:spacing w:line="312" w:lineRule="auto"/>
        <w:rPr>
          <w:rFonts w:ascii="Verdana" w:hAnsi="Verdana" w:cs="Arial"/>
          <w:sz w:val="22"/>
        </w:rPr>
      </w:pPr>
      <w:r>
        <w:rPr>
          <w:rFonts w:ascii="Verdana" w:hAnsi="Verdana" w:cs="Arial"/>
          <w:sz w:val="22"/>
        </w:rPr>
        <w:t xml:space="preserve">To do so, we first create a dynamic named set, which defines the </w:t>
      </w:r>
      <w:proofErr w:type="spellStart"/>
      <w:r>
        <w:rPr>
          <w:rFonts w:ascii="Verdana" w:hAnsi="Verdana" w:cs="Arial"/>
          <w:sz w:val="22"/>
        </w:rPr>
        <w:t>rowset</w:t>
      </w:r>
      <w:proofErr w:type="spellEnd"/>
      <w:r>
        <w:rPr>
          <w:rFonts w:ascii="Verdana" w:hAnsi="Verdana" w:cs="Arial"/>
          <w:sz w:val="22"/>
        </w:rPr>
        <w:t xml:space="preserve">. A </w:t>
      </w:r>
      <w:proofErr w:type="spellStart"/>
      <w:r>
        <w:rPr>
          <w:rFonts w:ascii="Verdana" w:hAnsi="Verdana" w:cs="Arial"/>
          <w:sz w:val="22"/>
        </w:rPr>
        <w:t>rowset</w:t>
      </w:r>
      <w:proofErr w:type="spellEnd"/>
      <w:r>
        <w:rPr>
          <w:rFonts w:ascii="Verdana" w:hAnsi="Verdana" w:cs="Arial"/>
          <w:sz w:val="22"/>
        </w:rPr>
        <w:t xml:space="preserve"> is a set of </w:t>
      </w:r>
      <w:proofErr w:type="spellStart"/>
      <w:r>
        <w:rPr>
          <w:rFonts w:ascii="Verdana" w:hAnsi="Verdana" w:cs="Arial"/>
          <w:sz w:val="22"/>
        </w:rPr>
        <w:t>tuples</w:t>
      </w:r>
      <w:proofErr w:type="spellEnd"/>
      <w:r>
        <w:rPr>
          <w:rFonts w:ascii="Verdana" w:hAnsi="Verdana" w:cs="Arial"/>
          <w:sz w:val="22"/>
        </w:rPr>
        <w:t xml:space="preserve"> that are </w:t>
      </w:r>
      <w:proofErr w:type="gramStart"/>
      <w:r>
        <w:rPr>
          <w:rFonts w:ascii="Verdana" w:hAnsi="Verdana" w:cs="Arial"/>
          <w:sz w:val="22"/>
        </w:rPr>
        <w:t>existing</w:t>
      </w:r>
      <w:proofErr w:type="gramEnd"/>
      <w:r>
        <w:rPr>
          <w:rFonts w:ascii="Verdana" w:hAnsi="Verdana" w:cs="Arial"/>
          <w:sz w:val="22"/>
        </w:rPr>
        <w:t xml:space="preserve"> at rows </w:t>
      </w:r>
      <w:r w:rsidR="007C4959">
        <w:rPr>
          <w:rFonts w:ascii="Verdana" w:hAnsi="Verdana" w:cs="Arial"/>
          <w:sz w:val="22"/>
        </w:rPr>
        <w:t xml:space="preserve">within the constraint of filters selected in the filter area and at row level. Then we aggregate the bank fees across this dynamic named set within the context defined by user. </w:t>
      </w:r>
    </w:p>
    <w:p w:rsidR="00A83A63" w:rsidRDefault="00A83A63" w:rsidP="005059AB">
      <w:pPr>
        <w:spacing w:line="312" w:lineRule="auto"/>
        <w:rPr>
          <w:rFonts w:ascii="Verdana" w:hAnsi="Verdana" w:cs="Arial"/>
          <w:sz w:val="22"/>
        </w:rPr>
      </w:pPr>
    </w:p>
    <w:p w:rsidR="007C4959" w:rsidRDefault="005059AB" w:rsidP="005059AB">
      <w:pPr>
        <w:spacing w:line="312" w:lineRule="auto"/>
        <w:rPr>
          <w:rFonts w:ascii="Verdana" w:hAnsi="Verdana" w:cs="Arial"/>
          <w:sz w:val="22"/>
        </w:rPr>
      </w:pPr>
      <w:r w:rsidRPr="005059AB">
        <w:rPr>
          <w:rFonts w:ascii="Verdana" w:hAnsi="Verdana" w:cs="Arial"/>
          <w:sz w:val="22"/>
        </w:rPr>
        <w:lastRenderedPageBreak/>
        <w:t>We are just trying to generalize or stretch our percentage calculation as far as possible to cover as many case scenarios as possible.</w:t>
      </w:r>
      <w:r w:rsidR="007C4959">
        <w:rPr>
          <w:rFonts w:ascii="Verdana" w:hAnsi="Verdana" w:cs="Arial"/>
          <w:sz w:val="22"/>
        </w:rPr>
        <w:t xml:space="preserve"> </w:t>
      </w:r>
      <w:r w:rsidRPr="005059AB">
        <w:rPr>
          <w:rFonts w:ascii="Verdana" w:hAnsi="Verdana" w:cs="Arial"/>
          <w:sz w:val="22"/>
        </w:rPr>
        <w:t xml:space="preserve">And we call it a generic percentage. </w:t>
      </w:r>
      <w:r w:rsidR="007C4959">
        <w:rPr>
          <w:rFonts w:ascii="Verdana" w:hAnsi="Verdana" w:cs="Arial"/>
          <w:sz w:val="22"/>
        </w:rPr>
        <w:t xml:space="preserve">But </w:t>
      </w:r>
      <w:proofErr w:type="gramStart"/>
      <w:r w:rsidR="007C4959">
        <w:rPr>
          <w:rFonts w:ascii="Verdana" w:hAnsi="Verdana" w:cs="Arial"/>
          <w:sz w:val="22"/>
        </w:rPr>
        <w:t>any  percentage</w:t>
      </w:r>
      <w:proofErr w:type="gramEnd"/>
      <w:r w:rsidR="007C4959">
        <w:rPr>
          <w:rFonts w:ascii="Verdana" w:hAnsi="Verdana" w:cs="Arial"/>
          <w:sz w:val="22"/>
        </w:rPr>
        <w:t xml:space="preserve"> calculation implements one perspective only. If you use a perspective to interpret a percentage that is defined based on a perspective different from yours, you’ll think the percentage is off.</w:t>
      </w:r>
    </w:p>
    <w:p w:rsidR="007C4959" w:rsidRDefault="007C4959" w:rsidP="005059AB">
      <w:pPr>
        <w:spacing w:line="312" w:lineRule="auto"/>
        <w:rPr>
          <w:rFonts w:ascii="Verdana" w:hAnsi="Verdana" w:cs="Arial"/>
          <w:sz w:val="22"/>
        </w:rPr>
      </w:pPr>
    </w:p>
    <w:p w:rsidR="005059AB" w:rsidRDefault="00910BCB" w:rsidP="005059AB">
      <w:pPr>
        <w:spacing w:line="312" w:lineRule="auto"/>
        <w:rPr>
          <w:rFonts w:ascii="Verdana" w:hAnsi="Verdana" w:cs="Arial"/>
          <w:sz w:val="22"/>
        </w:rPr>
      </w:pPr>
      <w:r>
        <w:rPr>
          <w:rFonts w:ascii="Verdana" w:hAnsi="Verdana" w:cs="Arial"/>
          <w:sz w:val="22"/>
        </w:rPr>
        <w:t>Currently there are eight types of generic percentage defined, and they are:</w:t>
      </w:r>
    </w:p>
    <w:p w:rsidR="00910BCB" w:rsidRPr="005059AB" w:rsidRDefault="00910BCB" w:rsidP="005059AB">
      <w:pPr>
        <w:spacing w:line="312" w:lineRule="auto"/>
        <w:rPr>
          <w:rFonts w:ascii="Verdana" w:hAnsi="Verdana" w:cs="Arial"/>
          <w:sz w:val="22"/>
        </w:rPr>
      </w:pPr>
    </w:p>
    <w:p w:rsidR="007C4959" w:rsidRPr="00725B90" w:rsidRDefault="007C4959" w:rsidP="007C4959">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[Share Of Wallet USD]</w:t>
      </w:r>
    </w:p>
    <w:p w:rsidR="007C4959" w:rsidRPr="00725B90" w:rsidRDefault="007C4959" w:rsidP="007C4959">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[Share Of Wallet EURO]</w:t>
      </w:r>
    </w:p>
    <w:p w:rsidR="007C4959" w:rsidRPr="00725B90" w:rsidRDefault="007C4959" w:rsidP="007C4959">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[Share Of Wallet YEN]</w:t>
      </w:r>
    </w:p>
    <w:p w:rsidR="007C4959" w:rsidRPr="00725B90" w:rsidRDefault="007C4959" w:rsidP="007C4959">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[Share Of Wallet STG]</w:t>
      </w:r>
    </w:p>
    <w:p w:rsidR="007C4959" w:rsidRPr="00725B90" w:rsidRDefault="007C4959" w:rsidP="007C4959">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[Market Share USD]</w:t>
      </w:r>
    </w:p>
    <w:p w:rsidR="007C4959" w:rsidRPr="00725B90" w:rsidRDefault="007C4959" w:rsidP="007C4959">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 xml:space="preserve">[Market Share EURO] </w:t>
      </w:r>
    </w:p>
    <w:p w:rsidR="007C4959" w:rsidRPr="00725B90" w:rsidRDefault="007C4959" w:rsidP="007C4959">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 xml:space="preserve">[Market Share YEN] </w:t>
      </w:r>
    </w:p>
    <w:p w:rsidR="007C4959" w:rsidRPr="00725B90" w:rsidRDefault="007C4959" w:rsidP="007C4959">
      <w:pPr>
        <w:pStyle w:val="ListParagraph"/>
        <w:numPr>
          <w:ilvl w:val="0"/>
          <w:numId w:val="30"/>
        </w:numPr>
        <w:spacing w:line="312" w:lineRule="auto"/>
        <w:rPr>
          <w:rFonts w:ascii="Courier New" w:hAnsi="Courier New" w:cs="Courier New"/>
          <w:sz w:val="20"/>
        </w:rPr>
      </w:pPr>
      <w:r w:rsidRPr="00725B90">
        <w:rPr>
          <w:rFonts w:ascii="Courier New" w:hAnsi="Courier New" w:cs="Courier New"/>
          <w:sz w:val="20"/>
        </w:rPr>
        <w:t xml:space="preserve">[Market Share STG] </w:t>
      </w:r>
    </w:p>
    <w:p w:rsidR="005059AB" w:rsidRDefault="005059AB" w:rsidP="005059AB">
      <w:pPr>
        <w:spacing w:line="312" w:lineRule="auto"/>
        <w:rPr>
          <w:rFonts w:ascii="Verdana" w:hAnsi="Verdana" w:cs="Arial"/>
          <w:sz w:val="22"/>
        </w:rPr>
      </w:pPr>
    </w:p>
    <w:p w:rsidR="00910BCB" w:rsidRDefault="00910BCB" w:rsidP="005059AB">
      <w:pPr>
        <w:spacing w:line="312" w:lineRule="auto"/>
        <w:rPr>
          <w:rFonts w:ascii="Verdana" w:hAnsi="Verdana" w:cs="Arial"/>
          <w:sz w:val="22"/>
        </w:rPr>
      </w:pPr>
      <w:r>
        <w:rPr>
          <w:rFonts w:ascii="Verdana" w:hAnsi="Verdana" w:cs="Arial"/>
          <w:sz w:val="22"/>
        </w:rPr>
        <w:t xml:space="preserve">These have been pushed to the main cube on QA box and 37 </w:t>
      </w:r>
      <w:proofErr w:type="gramStart"/>
      <w:r>
        <w:rPr>
          <w:rFonts w:ascii="Verdana" w:hAnsi="Verdana" w:cs="Arial"/>
          <w:sz w:val="22"/>
        </w:rPr>
        <w:t>box</w:t>
      </w:r>
      <w:proofErr w:type="gramEnd"/>
      <w:r>
        <w:rPr>
          <w:rFonts w:ascii="Verdana" w:hAnsi="Verdana" w:cs="Arial"/>
          <w:sz w:val="22"/>
        </w:rPr>
        <w:t>.</w:t>
      </w:r>
    </w:p>
    <w:p w:rsidR="00910BCB" w:rsidRDefault="00910BCB" w:rsidP="005059AB">
      <w:pPr>
        <w:spacing w:line="312" w:lineRule="auto"/>
        <w:rPr>
          <w:rFonts w:ascii="Verdana" w:hAnsi="Verdana" w:cs="Arial"/>
          <w:sz w:val="22"/>
        </w:rPr>
      </w:pPr>
    </w:p>
    <w:p w:rsidR="00952268" w:rsidRPr="005610DE" w:rsidRDefault="00952268" w:rsidP="00952268">
      <w:pPr>
        <w:spacing w:line="312" w:lineRule="auto"/>
        <w:rPr>
          <w:rFonts w:ascii="Verdana" w:hAnsi="Verdana" w:cs="Arial"/>
          <w:b/>
          <w:sz w:val="22"/>
        </w:rPr>
      </w:pPr>
      <w:r>
        <w:rPr>
          <w:rFonts w:ascii="Verdana" w:hAnsi="Verdana" w:cs="Arial"/>
          <w:b/>
          <w:sz w:val="28"/>
        </w:rPr>
        <w:t xml:space="preserve">Interpretation of </w:t>
      </w:r>
      <w:r w:rsidR="00F272D3">
        <w:rPr>
          <w:rFonts w:ascii="Verdana" w:hAnsi="Verdana" w:cs="Arial"/>
          <w:b/>
          <w:sz w:val="28"/>
        </w:rPr>
        <w:t xml:space="preserve">generic </w:t>
      </w:r>
      <w:r>
        <w:rPr>
          <w:rFonts w:ascii="Verdana" w:hAnsi="Verdana" w:cs="Arial"/>
          <w:b/>
          <w:sz w:val="28"/>
        </w:rPr>
        <w:t>SOW</w:t>
      </w:r>
      <w:proofErr w:type="gramStart"/>
      <w:r>
        <w:rPr>
          <w:rFonts w:ascii="Verdana" w:hAnsi="Verdana" w:cs="Arial"/>
          <w:b/>
          <w:sz w:val="28"/>
        </w:rPr>
        <w:t xml:space="preserve">% </w:t>
      </w:r>
      <w:r w:rsidR="00B91147">
        <w:rPr>
          <w:rFonts w:ascii="Verdana" w:hAnsi="Verdana" w:cs="Arial"/>
          <w:b/>
          <w:sz w:val="28"/>
        </w:rPr>
        <w:t xml:space="preserve"> &amp;</w:t>
      </w:r>
      <w:proofErr w:type="gramEnd"/>
      <w:r w:rsidR="00B91147">
        <w:rPr>
          <w:rFonts w:ascii="Verdana" w:hAnsi="Verdana" w:cs="Arial"/>
          <w:b/>
          <w:sz w:val="28"/>
        </w:rPr>
        <w:t xml:space="preserve"> Comparison between the generic SOW% and the old SOW%</w:t>
      </w:r>
    </w:p>
    <w:p w:rsidR="00952268" w:rsidRDefault="00952268" w:rsidP="00952268">
      <w:pPr>
        <w:spacing w:line="312" w:lineRule="auto"/>
        <w:rPr>
          <w:rFonts w:ascii="Verdana" w:hAnsi="Verdana" w:cs="Arial"/>
          <w:sz w:val="22"/>
        </w:rPr>
      </w:pPr>
      <w:r>
        <w:rPr>
          <w:rFonts w:ascii="Verdana" w:hAnsi="Verdana" w:cs="Arial"/>
          <w:sz w:val="22"/>
        </w:rPr>
        <w:t xml:space="preserve"> </w:t>
      </w:r>
    </w:p>
    <w:p w:rsidR="00C40159" w:rsidRDefault="00952268" w:rsidP="00952268">
      <w:pPr>
        <w:spacing w:line="312" w:lineRule="auto"/>
        <w:rPr>
          <w:rFonts w:ascii="Verdana" w:hAnsi="Verdana" w:cs="Arial"/>
          <w:sz w:val="22"/>
        </w:rPr>
      </w:pPr>
      <w:r>
        <w:rPr>
          <w:rFonts w:ascii="Verdana" w:hAnsi="Verdana" w:cs="Arial"/>
          <w:sz w:val="22"/>
        </w:rPr>
        <w:t xml:space="preserve">Let us use </w:t>
      </w:r>
      <w:r w:rsidR="00C40159">
        <w:rPr>
          <w:rFonts w:ascii="Verdana" w:hAnsi="Verdana" w:cs="Arial"/>
          <w:sz w:val="22"/>
        </w:rPr>
        <w:t xml:space="preserve">the same examples illustrated above to compare the old and the generic SOW%. </w:t>
      </w:r>
    </w:p>
    <w:p w:rsidR="00C40159" w:rsidRDefault="00C40159" w:rsidP="00952268">
      <w:pPr>
        <w:spacing w:line="312" w:lineRule="auto"/>
        <w:rPr>
          <w:rFonts w:ascii="Verdana" w:hAnsi="Verdana" w:cs="Arial"/>
          <w:sz w:val="22"/>
        </w:rPr>
      </w:pPr>
    </w:p>
    <w:p w:rsidR="00952268" w:rsidRDefault="00C40159" w:rsidP="00952268">
      <w:pPr>
        <w:spacing w:line="312" w:lineRule="auto"/>
        <w:rPr>
          <w:rFonts w:ascii="Verdana" w:hAnsi="Verdana" w:cs="Arial"/>
          <w:sz w:val="22"/>
        </w:rPr>
      </w:pPr>
      <w:r>
        <w:rPr>
          <w:rFonts w:ascii="Verdana" w:hAnsi="Verdana" w:cs="Arial"/>
          <w:sz w:val="22"/>
        </w:rPr>
        <w:t>Again, l</w:t>
      </w:r>
      <w:r w:rsidR="00952268">
        <w:rPr>
          <w:rFonts w:ascii="Verdana" w:hAnsi="Verdana" w:cs="Arial"/>
          <w:sz w:val="22"/>
        </w:rPr>
        <w:t xml:space="preserve">et us say, you select the Bank dimension and the bank name hierarchy as the rows, and filter by Deal Nation Region and Effective Date, and you are looking at Fees in USD, </w:t>
      </w:r>
      <w:r>
        <w:rPr>
          <w:rFonts w:ascii="Verdana" w:hAnsi="Verdana" w:cs="Arial"/>
          <w:sz w:val="22"/>
        </w:rPr>
        <w:t>the generic SOW%</w:t>
      </w:r>
      <w:r w:rsidR="00952268">
        <w:rPr>
          <w:rFonts w:ascii="Verdana" w:hAnsi="Verdana" w:cs="Arial"/>
          <w:sz w:val="22"/>
        </w:rPr>
        <w:t xml:space="preserve"> and </w:t>
      </w:r>
      <w:r>
        <w:rPr>
          <w:rFonts w:ascii="Verdana" w:hAnsi="Verdana" w:cs="Arial"/>
          <w:sz w:val="22"/>
        </w:rPr>
        <w:t xml:space="preserve">the old </w:t>
      </w:r>
      <w:r w:rsidR="00952268">
        <w:rPr>
          <w:rFonts w:ascii="Verdana" w:hAnsi="Verdana" w:cs="Arial"/>
          <w:sz w:val="22"/>
        </w:rPr>
        <w:t>SOW%. See the screenshot below.</w:t>
      </w:r>
    </w:p>
    <w:p w:rsidR="00952268" w:rsidRDefault="00952268" w:rsidP="005059AB">
      <w:pPr>
        <w:spacing w:line="312" w:lineRule="auto"/>
        <w:rPr>
          <w:rFonts w:ascii="Verdana" w:hAnsi="Verdana" w:cs="Arial"/>
          <w:sz w:val="22"/>
        </w:rPr>
      </w:pPr>
    </w:p>
    <w:p w:rsidR="00952268" w:rsidRDefault="00FF7038" w:rsidP="005059AB">
      <w:pPr>
        <w:spacing w:line="312" w:lineRule="auto"/>
        <w:rPr>
          <w:rFonts w:ascii="Verdana" w:hAnsi="Verdana" w:cs="Arial"/>
          <w:sz w:val="22"/>
        </w:rPr>
      </w:pPr>
      <w:r>
        <w:rPr>
          <w:rFonts w:ascii="Verdana" w:hAnsi="Verdana" w:cs="Arial"/>
          <w:noProof/>
          <w:sz w:val="22"/>
        </w:rPr>
        <w:lastRenderedPageBreak/>
        <w:drawing>
          <wp:inline distT="0" distB="0" distL="0" distR="0">
            <wp:extent cx="6400800" cy="37084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400800" cy="3708400"/>
                    </a:xfrm>
                    <a:prstGeom prst="rect">
                      <a:avLst/>
                    </a:prstGeom>
                    <a:noFill/>
                    <a:ln w="9525">
                      <a:noFill/>
                      <a:miter lim="800000"/>
                      <a:headEnd/>
                      <a:tailEnd/>
                    </a:ln>
                  </pic:spPr>
                </pic:pic>
              </a:graphicData>
            </a:graphic>
          </wp:inline>
        </w:drawing>
      </w:r>
    </w:p>
    <w:p w:rsidR="00952268" w:rsidRDefault="00952268" w:rsidP="005059AB">
      <w:pPr>
        <w:spacing w:line="312" w:lineRule="auto"/>
        <w:rPr>
          <w:rFonts w:ascii="Verdana" w:hAnsi="Verdana" w:cs="Arial"/>
          <w:sz w:val="22"/>
        </w:rPr>
      </w:pPr>
    </w:p>
    <w:p w:rsidR="00A448F3" w:rsidRDefault="00FF7038" w:rsidP="00A448F3">
      <w:pPr>
        <w:spacing w:line="312" w:lineRule="auto"/>
        <w:rPr>
          <w:rFonts w:ascii="Verdana" w:hAnsi="Verdana" w:cs="Arial"/>
          <w:sz w:val="22"/>
        </w:rPr>
      </w:pPr>
      <w:r>
        <w:rPr>
          <w:rFonts w:ascii="Verdana" w:hAnsi="Verdana" w:cs="Arial"/>
          <w:sz w:val="22"/>
        </w:rPr>
        <w:t>You will see that, in this perfect case, the generic and the old SOW% are identical.</w:t>
      </w:r>
      <w:r w:rsidR="003C59A3">
        <w:rPr>
          <w:rFonts w:ascii="Verdana" w:hAnsi="Verdana" w:cs="Arial"/>
          <w:sz w:val="22"/>
        </w:rPr>
        <w:t xml:space="preserve"> </w:t>
      </w:r>
      <w:r w:rsidR="00A448F3">
        <w:rPr>
          <w:rFonts w:ascii="Verdana" w:hAnsi="Verdana" w:cs="Arial"/>
          <w:sz w:val="22"/>
        </w:rPr>
        <w:t>Now you replace Bank Name with Product Group in the row, and let us see what we get:</w:t>
      </w:r>
    </w:p>
    <w:p w:rsidR="00A448F3" w:rsidRDefault="00A448F3" w:rsidP="00A448F3">
      <w:pPr>
        <w:spacing w:line="312" w:lineRule="auto"/>
        <w:rPr>
          <w:rFonts w:ascii="Verdana" w:hAnsi="Verdana" w:cs="Arial"/>
          <w:sz w:val="22"/>
        </w:rPr>
      </w:pPr>
    </w:p>
    <w:p w:rsidR="00A448F3" w:rsidRDefault="00FA603D" w:rsidP="00A448F3">
      <w:pPr>
        <w:spacing w:line="312" w:lineRule="auto"/>
        <w:rPr>
          <w:rFonts w:ascii="Verdana" w:hAnsi="Verdana" w:cs="Arial"/>
          <w:sz w:val="22"/>
        </w:rPr>
      </w:pPr>
      <w:r>
        <w:rPr>
          <w:rFonts w:ascii="Verdana" w:hAnsi="Verdana" w:cs="Arial"/>
          <w:noProof/>
          <w:sz w:val="22"/>
        </w:rPr>
        <w:drawing>
          <wp:inline distT="0" distB="0" distL="0" distR="0">
            <wp:extent cx="6394450" cy="1809750"/>
            <wp:effectExtent l="19050" t="0" r="635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394450" cy="1809750"/>
                    </a:xfrm>
                    <a:prstGeom prst="rect">
                      <a:avLst/>
                    </a:prstGeom>
                    <a:noFill/>
                    <a:ln w="9525">
                      <a:noFill/>
                      <a:miter lim="800000"/>
                      <a:headEnd/>
                      <a:tailEnd/>
                    </a:ln>
                  </pic:spPr>
                </pic:pic>
              </a:graphicData>
            </a:graphic>
          </wp:inline>
        </w:drawing>
      </w:r>
    </w:p>
    <w:p w:rsidR="00A448F3" w:rsidRDefault="00A448F3" w:rsidP="00A448F3">
      <w:pPr>
        <w:spacing w:line="312" w:lineRule="auto"/>
        <w:rPr>
          <w:rFonts w:ascii="Verdana" w:hAnsi="Verdana" w:cs="Arial"/>
          <w:sz w:val="22"/>
        </w:rPr>
      </w:pPr>
    </w:p>
    <w:p w:rsidR="00FA603D" w:rsidRDefault="00FA603D" w:rsidP="00A448F3">
      <w:pPr>
        <w:spacing w:line="312" w:lineRule="auto"/>
        <w:rPr>
          <w:rFonts w:ascii="Verdana" w:hAnsi="Verdana" w:cs="Arial"/>
          <w:sz w:val="22"/>
        </w:rPr>
      </w:pPr>
      <w:r>
        <w:rPr>
          <w:rFonts w:ascii="Verdana" w:hAnsi="Verdana" w:cs="Arial"/>
          <w:sz w:val="22"/>
        </w:rPr>
        <w:t xml:space="preserve">The old </w:t>
      </w:r>
      <w:r w:rsidR="00A448F3">
        <w:rPr>
          <w:rFonts w:ascii="Verdana" w:hAnsi="Verdana" w:cs="Arial"/>
          <w:sz w:val="22"/>
        </w:rPr>
        <w:t>SOW%</w:t>
      </w:r>
      <w:r>
        <w:rPr>
          <w:rFonts w:ascii="Verdana" w:hAnsi="Verdana" w:cs="Arial"/>
          <w:sz w:val="22"/>
        </w:rPr>
        <w:t xml:space="preserve"> does not tell you anything. However, the generic SOW% does tell you something meaningful. For example, 55.16% is the percentage of all the fees earned by all the banks in the EQUITY deal category relative to all the fees earned by all the banks in all the deal categories within the given context (i.e. in April 2011 in Canada).</w:t>
      </w:r>
    </w:p>
    <w:p w:rsidR="00FA603D" w:rsidRDefault="00FA603D" w:rsidP="00A448F3">
      <w:pPr>
        <w:spacing w:line="312" w:lineRule="auto"/>
        <w:rPr>
          <w:rFonts w:ascii="Verdana" w:hAnsi="Verdana" w:cs="Arial"/>
          <w:sz w:val="22"/>
        </w:rPr>
      </w:pPr>
    </w:p>
    <w:p w:rsidR="00A448F3" w:rsidRDefault="00A448F3" w:rsidP="00A448F3">
      <w:pPr>
        <w:spacing w:line="312" w:lineRule="auto"/>
        <w:rPr>
          <w:rFonts w:ascii="Verdana" w:hAnsi="Verdana" w:cs="Arial"/>
          <w:sz w:val="22"/>
        </w:rPr>
      </w:pPr>
      <w:r>
        <w:rPr>
          <w:rFonts w:ascii="Verdana" w:hAnsi="Verdana" w:cs="Arial"/>
          <w:sz w:val="22"/>
        </w:rPr>
        <w:lastRenderedPageBreak/>
        <w:t>Now let us put an extra filter in the filter area, and filter by a particular bank – say BMO Capital Markets, you then get this screen:</w:t>
      </w:r>
    </w:p>
    <w:p w:rsidR="00A448F3" w:rsidRDefault="00A448F3" w:rsidP="00A448F3">
      <w:pPr>
        <w:spacing w:line="312" w:lineRule="auto"/>
        <w:rPr>
          <w:rFonts w:ascii="Verdana" w:hAnsi="Verdana" w:cs="Arial"/>
          <w:sz w:val="22"/>
        </w:rPr>
      </w:pPr>
    </w:p>
    <w:p w:rsidR="00A448F3" w:rsidRDefault="003F4C91" w:rsidP="00A448F3">
      <w:pPr>
        <w:spacing w:line="312" w:lineRule="auto"/>
        <w:rPr>
          <w:rFonts w:ascii="Verdana" w:hAnsi="Verdana" w:cs="Arial"/>
          <w:sz w:val="22"/>
        </w:rPr>
      </w:pPr>
      <w:r>
        <w:rPr>
          <w:rFonts w:ascii="Verdana" w:hAnsi="Verdana" w:cs="Arial"/>
          <w:noProof/>
          <w:sz w:val="22"/>
        </w:rPr>
        <w:drawing>
          <wp:inline distT="0" distB="0" distL="0" distR="0">
            <wp:extent cx="6394450" cy="1530350"/>
            <wp:effectExtent l="19050" t="0" r="635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394450" cy="1530350"/>
                    </a:xfrm>
                    <a:prstGeom prst="rect">
                      <a:avLst/>
                    </a:prstGeom>
                    <a:noFill/>
                    <a:ln w="9525">
                      <a:noFill/>
                      <a:miter lim="800000"/>
                      <a:headEnd/>
                      <a:tailEnd/>
                    </a:ln>
                  </pic:spPr>
                </pic:pic>
              </a:graphicData>
            </a:graphic>
          </wp:inline>
        </w:drawing>
      </w:r>
    </w:p>
    <w:p w:rsidR="00A448F3" w:rsidRDefault="00A448F3" w:rsidP="00A448F3">
      <w:pPr>
        <w:spacing w:line="312" w:lineRule="auto"/>
        <w:rPr>
          <w:rFonts w:ascii="Verdana" w:hAnsi="Verdana" w:cs="Arial"/>
          <w:sz w:val="22"/>
        </w:rPr>
      </w:pPr>
    </w:p>
    <w:p w:rsidR="003F4C91" w:rsidRDefault="003F4C91" w:rsidP="00A448F3">
      <w:pPr>
        <w:spacing w:line="312" w:lineRule="auto"/>
        <w:rPr>
          <w:rFonts w:ascii="Verdana" w:hAnsi="Verdana" w:cs="Arial"/>
          <w:sz w:val="22"/>
        </w:rPr>
      </w:pPr>
      <w:r>
        <w:rPr>
          <w:rFonts w:ascii="Verdana" w:hAnsi="Verdana" w:cs="Arial"/>
          <w:sz w:val="22"/>
        </w:rPr>
        <w:t xml:space="preserve">You will have a hard time to understand and to compare the two percentages, since they are quite different. </w:t>
      </w:r>
    </w:p>
    <w:p w:rsidR="003F4C91" w:rsidRDefault="003F4C91" w:rsidP="00A448F3">
      <w:pPr>
        <w:spacing w:line="312" w:lineRule="auto"/>
        <w:rPr>
          <w:rFonts w:ascii="Verdana" w:hAnsi="Verdana" w:cs="Arial"/>
          <w:sz w:val="22"/>
        </w:rPr>
      </w:pPr>
    </w:p>
    <w:p w:rsidR="00926715" w:rsidRDefault="003F4C91" w:rsidP="00926715">
      <w:pPr>
        <w:spacing w:line="312" w:lineRule="auto"/>
        <w:rPr>
          <w:rFonts w:ascii="Verdana" w:hAnsi="Verdana" w:cs="Arial"/>
          <w:sz w:val="22"/>
        </w:rPr>
      </w:pPr>
      <w:r>
        <w:rPr>
          <w:rFonts w:ascii="Verdana" w:hAnsi="Verdana" w:cs="Arial"/>
          <w:sz w:val="22"/>
        </w:rPr>
        <w:t xml:space="preserve">Let us look at the row of EQUITY, and try to interpret the percentages. 31.42% is the percentage of all the fees earned by BMO Capital Markets in the EQUITY deal category relative to all the fees earned by </w:t>
      </w:r>
      <w:r w:rsidR="00926715">
        <w:rPr>
          <w:rFonts w:ascii="Verdana" w:hAnsi="Verdana" w:cs="Arial"/>
          <w:sz w:val="22"/>
        </w:rPr>
        <w:t xml:space="preserve">BMO Capital Markets in all the deal categories </w:t>
      </w:r>
      <w:r>
        <w:rPr>
          <w:rFonts w:ascii="Verdana" w:hAnsi="Verdana" w:cs="Arial"/>
          <w:sz w:val="22"/>
        </w:rPr>
        <w:t>within the given context</w:t>
      </w:r>
      <w:r w:rsidR="00926715">
        <w:rPr>
          <w:rFonts w:ascii="Verdana" w:hAnsi="Verdana" w:cs="Arial"/>
          <w:sz w:val="22"/>
        </w:rPr>
        <w:t>, whereas 6.80% is the percentage of all the fees earned by BMO Capital Markets in the EQUITY deal category relative to all the fees earned by all the banks in the EQUITY deal category within the given context (i.e. in April 2011 in Canada).</w:t>
      </w:r>
    </w:p>
    <w:p w:rsidR="00926715" w:rsidRDefault="00926715" w:rsidP="00926715">
      <w:pPr>
        <w:spacing w:line="312" w:lineRule="auto"/>
        <w:rPr>
          <w:rFonts w:ascii="Verdana" w:hAnsi="Verdana" w:cs="Arial"/>
          <w:sz w:val="22"/>
        </w:rPr>
      </w:pPr>
    </w:p>
    <w:p w:rsidR="00A448F3" w:rsidRDefault="00A448F3" w:rsidP="00A448F3">
      <w:pPr>
        <w:spacing w:line="312" w:lineRule="auto"/>
        <w:rPr>
          <w:rFonts w:ascii="Verdana" w:hAnsi="Verdana" w:cs="Arial"/>
          <w:sz w:val="22"/>
        </w:rPr>
      </w:pPr>
      <w:r>
        <w:rPr>
          <w:rFonts w:ascii="Verdana" w:hAnsi="Verdana" w:cs="Arial"/>
          <w:sz w:val="22"/>
        </w:rPr>
        <w:t>Now let us change the Bank Name filter to include two banks: BMO Capital Markets and RBC Capital Markets. You then get this:</w:t>
      </w:r>
    </w:p>
    <w:p w:rsidR="00A448F3" w:rsidRDefault="00A448F3" w:rsidP="00A448F3">
      <w:pPr>
        <w:spacing w:line="312" w:lineRule="auto"/>
        <w:rPr>
          <w:rFonts w:ascii="Verdana" w:hAnsi="Verdana" w:cs="Arial"/>
          <w:sz w:val="22"/>
        </w:rPr>
      </w:pPr>
    </w:p>
    <w:p w:rsidR="00A448F3" w:rsidRDefault="004834BE" w:rsidP="00A448F3">
      <w:pPr>
        <w:spacing w:line="312" w:lineRule="auto"/>
        <w:rPr>
          <w:rFonts w:ascii="Verdana" w:hAnsi="Verdana" w:cs="Arial"/>
          <w:sz w:val="22"/>
        </w:rPr>
      </w:pPr>
      <w:r>
        <w:rPr>
          <w:rFonts w:ascii="Verdana" w:hAnsi="Verdana" w:cs="Arial"/>
          <w:noProof/>
          <w:sz w:val="22"/>
        </w:rPr>
        <w:drawing>
          <wp:inline distT="0" distB="0" distL="0" distR="0">
            <wp:extent cx="6394450" cy="1727200"/>
            <wp:effectExtent l="19050" t="0" r="635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6394450" cy="1727200"/>
                    </a:xfrm>
                    <a:prstGeom prst="rect">
                      <a:avLst/>
                    </a:prstGeom>
                    <a:noFill/>
                    <a:ln w="9525">
                      <a:noFill/>
                      <a:miter lim="800000"/>
                      <a:headEnd/>
                      <a:tailEnd/>
                    </a:ln>
                  </pic:spPr>
                </pic:pic>
              </a:graphicData>
            </a:graphic>
          </wp:inline>
        </w:drawing>
      </w:r>
    </w:p>
    <w:p w:rsidR="00A448F3" w:rsidRDefault="00A448F3" w:rsidP="00A448F3">
      <w:pPr>
        <w:spacing w:line="312" w:lineRule="auto"/>
        <w:rPr>
          <w:rFonts w:ascii="Verdana" w:hAnsi="Verdana" w:cs="Arial"/>
          <w:sz w:val="22"/>
        </w:rPr>
      </w:pPr>
    </w:p>
    <w:p w:rsidR="009B64F3" w:rsidRDefault="00D24AF1" w:rsidP="009B64F3">
      <w:pPr>
        <w:spacing w:line="312" w:lineRule="auto"/>
        <w:rPr>
          <w:rFonts w:ascii="Verdana" w:hAnsi="Verdana" w:cs="Arial"/>
          <w:sz w:val="22"/>
        </w:rPr>
      </w:pPr>
      <w:r>
        <w:rPr>
          <w:rFonts w:ascii="Verdana" w:hAnsi="Verdana" w:cs="Arial"/>
          <w:sz w:val="22"/>
        </w:rPr>
        <w:t>Again, l</w:t>
      </w:r>
      <w:r w:rsidR="009B64F3">
        <w:rPr>
          <w:rFonts w:ascii="Verdana" w:hAnsi="Verdana" w:cs="Arial"/>
          <w:sz w:val="22"/>
        </w:rPr>
        <w:t>et us look at the row of EQUITY, and try to interpret the percentages.</w:t>
      </w:r>
      <w:r>
        <w:rPr>
          <w:rFonts w:ascii="Verdana" w:hAnsi="Verdana" w:cs="Arial"/>
          <w:sz w:val="22"/>
        </w:rPr>
        <w:t xml:space="preserve"> 33.51</w:t>
      </w:r>
      <w:r w:rsidR="009B64F3">
        <w:rPr>
          <w:rFonts w:ascii="Verdana" w:hAnsi="Verdana" w:cs="Arial"/>
          <w:sz w:val="22"/>
        </w:rPr>
        <w:t xml:space="preserve">% is the percentage of all the fees earned by BMO Capital Markets </w:t>
      </w:r>
      <w:r>
        <w:rPr>
          <w:rFonts w:ascii="Verdana" w:hAnsi="Verdana" w:cs="Arial"/>
          <w:sz w:val="22"/>
        </w:rPr>
        <w:t xml:space="preserve">and RBC Capital Markets combined </w:t>
      </w:r>
      <w:r w:rsidR="009B64F3">
        <w:rPr>
          <w:rFonts w:ascii="Verdana" w:hAnsi="Verdana" w:cs="Arial"/>
          <w:sz w:val="22"/>
        </w:rPr>
        <w:t xml:space="preserve">in the EQUITY deal category relative to all the fees earned by </w:t>
      </w:r>
      <w:r w:rsidR="009B64F3">
        <w:rPr>
          <w:rFonts w:ascii="Verdana" w:hAnsi="Verdana" w:cs="Arial"/>
          <w:sz w:val="22"/>
        </w:rPr>
        <w:lastRenderedPageBreak/>
        <w:t xml:space="preserve">BMO Capital Markets </w:t>
      </w:r>
      <w:r>
        <w:rPr>
          <w:rFonts w:ascii="Verdana" w:hAnsi="Verdana" w:cs="Arial"/>
          <w:sz w:val="22"/>
        </w:rPr>
        <w:t xml:space="preserve">and RBC Capital Markets combined </w:t>
      </w:r>
      <w:r w:rsidR="009B64F3">
        <w:rPr>
          <w:rFonts w:ascii="Verdana" w:hAnsi="Verdana" w:cs="Arial"/>
          <w:sz w:val="22"/>
        </w:rPr>
        <w:t xml:space="preserve">in all the deal categories within the given context, whereas </w:t>
      </w:r>
      <w:r>
        <w:rPr>
          <w:rFonts w:ascii="Verdana" w:hAnsi="Verdana" w:cs="Arial"/>
          <w:sz w:val="22"/>
        </w:rPr>
        <w:t>17.62</w:t>
      </w:r>
      <w:r w:rsidR="009B64F3">
        <w:rPr>
          <w:rFonts w:ascii="Verdana" w:hAnsi="Verdana" w:cs="Arial"/>
          <w:sz w:val="22"/>
        </w:rPr>
        <w:t xml:space="preserve">% is the percentage of all the fees earned by BMO Capital Markets </w:t>
      </w:r>
      <w:r>
        <w:rPr>
          <w:rFonts w:ascii="Verdana" w:hAnsi="Verdana" w:cs="Arial"/>
          <w:sz w:val="22"/>
        </w:rPr>
        <w:t xml:space="preserve">and RBC Capital Markets combined </w:t>
      </w:r>
      <w:r w:rsidR="009B64F3">
        <w:rPr>
          <w:rFonts w:ascii="Verdana" w:hAnsi="Verdana" w:cs="Arial"/>
          <w:sz w:val="22"/>
        </w:rPr>
        <w:t>in the EQUITY deal category relative to all the fees earned by all the banks in the EQUITY deal category within the given context (i.e. in April 2011 in Canada).</w:t>
      </w:r>
    </w:p>
    <w:p w:rsidR="009B64F3" w:rsidRDefault="009B64F3" w:rsidP="009B64F3">
      <w:pPr>
        <w:spacing w:line="312" w:lineRule="auto"/>
        <w:rPr>
          <w:rFonts w:ascii="Verdana" w:hAnsi="Verdana" w:cs="Arial"/>
          <w:sz w:val="22"/>
        </w:rPr>
      </w:pPr>
    </w:p>
    <w:p w:rsidR="009B64F3" w:rsidRDefault="009B64F3" w:rsidP="009B64F3">
      <w:pPr>
        <w:spacing w:line="312" w:lineRule="auto"/>
        <w:rPr>
          <w:rFonts w:ascii="Verdana" w:hAnsi="Verdana" w:cs="Arial"/>
          <w:sz w:val="22"/>
        </w:rPr>
      </w:pPr>
      <w:r>
        <w:rPr>
          <w:rFonts w:ascii="Verdana" w:hAnsi="Verdana" w:cs="Arial"/>
          <w:sz w:val="22"/>
        </w:rPr>
        <w:t xml:space="preserve">So now you see, </w:t>
      </w:r>
      <w:r w:rsidRPr="00577CAB">
        <w:rPr>
          <w:rFonts w:ascii="Verdana" w:hAnsi="Verdana" w:cs="Arial"/>
          <w:b/>
          <w:sz w:val="22"/>
        </w:rPr>
        <w:t xml:space="preserve">understanding a percentage always </w:t>
      </w:r>
      <w:proofErr w:type="gramStart"/>
      <w:r w:rsidRPr="00577CAB">
        <w:rPr>
          <w:rFonts w:ascii="Verdana" w:hAnsi="Verdana" w:cs="Arial"/>
          <w:b/>
          <w:sz w:val="22"/>
        </w:rPr>
        <w:t>depends</w:t>
      </w:r>
      <w:proofErr w:type="gramEnd"/>
      <w:r w:rsidRPr="00577CAB">
        <w:rPr>
          <w:rFonts w:ascii="Verdana" w:hAnsi="Verdana" w:cs="Arial"/>
          <w:b/>
          <w:sz w:val="22"/>
        </w:rPr>
        <w:t xml:space="preserve"> the perspective that you are using to interpret the percentage</w:t>
      </w:r>
      <w:r>
        <w:rPr>
          <w:rFonts w:ascii="Verdana" w:hAnsi="Verdana" w:cs="Arial"/>
          <w:sz w:val="22"/>
        </w:rPr>
        <w:t>.</w:t>
      </w:r>
      <w:r w:rsidR="00D24AF1">
        <w:rPr>
          <w:rFonts w:ascii="Verdana" w:hAnsi="Verdana" w:cs="Arial"/>
          <w:sz w:val="22"/>
        </w:rPr>
        <w:t xml:space="preserve"> </w:t>
      </w:r>
      <w:r w:rsidR="005E5E56">
        <w:rPr>
          <w:rFonts w:ascii="Verdana" w:hAnsi="Verdana" w:cs="Arial"/>
          <w:sz w:val="22"/>
        </w:rPr>
        <w:t>The definition of a</w:t>
      </w:r>
      <w:r w:rsidR="00D24AF1">
        <w:rPr>
          <w:rFonts w:ascii="Verdana" w:hAnsi="Verdana" w:cs="Arial"/>
          <w:sz w:val="22"/>
        </w:rPr>
        <w:t>ny per</w:t>
      </w:r>
      <w:r w:rsidR="005E5E56">
        <w:rPr>
          <w:rFonts w:ascii="Verdana" w:hAnsi="Verdana" w:cs="Arial"/>
          <w:sz w:val="22"/>
        </w:rPr>
        <w:t>centage can only follow one perspective. It’s important to understand the perspec</w:t>
      </w:r>
      <w:r w:rsidR="00577CAB">
        <w:rPr>
          <w:rFonts w:ascii="Verdana" w:hAnsi="Verdana" w:cs="Arial"/>
          <w:sz w:val="22"/>
        </w:rPr>
        <w:t>tive a percentage is defined on before you interpret it.</w:t>
      </w:r>
    </w:p>
    <w:p w:rsidR="004834BE" w:rsidRDefault="004834BE" w:rsidP="00A448F3">
      <w:pPr>
        <w:spacing w:line="312" w:lineRule="auto"/>
        <w:rPr>
          <w:rFonts w:ascii="Verdana" w:hAnsi="Verdana" w:cs="Arial"/>
          <w:sz w:val="22"/>
        </w:rPr>
      </w:pPr>
    </w:p>
    <w:sectPr w:rsidR="004834BE" w:rsidSect="00E101F4">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9BA" w:rsidRDefault="00E609BA">
      <w:r>
        <w:separator/>
      </w:r>
    </w:p>
  </w:endnote>
  <w:endnote w:type="continuationSeparator" w:id="0">
    <w:p w:rsidR="00E609BA" w:rsidRDefault="00E609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AF1" w:rsidRDefault="00690FEA">
    <w:pPr>
      <w:pStyle w:val="Footer"/>
      <w:framePr w:wrap="around" w:vAnchor="text" w:hAnchor="margin" w:xAlign="center" w:y="1"/>
      <w:rPr>
        <w:rStyle w:val="PageNumber"/>
      </w:rPr>
    </w:pPr>
    <w:r>
      <w:rPr>
        <w:rStyle w:val="PageNumber"/>
      </w:rPr>
      <w:fldChar w:fldCharType="begin"/>
    </w:r>
    <w:r w:rsidR="00D24AF1">
      <w:rPr>
        <w:rStyle w:val="PageNumber"/>
      </w:rPr>
      <w:instrText xml:space="preserve">PAGE  </w:instrText>
    </w:r>
    <w:r>
      <w:rPr>
        <w:rStyle w:val="PageNumber"/>
      </w:rPr>
      <w:fldChar w:fldCharType="end"/>
    </w:r>
  </w:p>
  <w:p w:rsidR="00D24AF1" w:rsidRDefault="00D24A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AF1" w:rsidRDefault="00D24AF1">
    <w:pPr>
      <w:pStyle w:val="Footer"/>
      <w:framePr w:wrap="around" w:vAnchor="text" w:hAnchor="margin" w:xAlign="center" w:y="1"/>
      <w:rPr>
        <w:rStyle w:val="PageNumber"/>
      </w:rPr>
    </w:pPr>
  </w:p>
  <w:p w:rsidR="00D24AF1" w:rsidRDefault="00D24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9BA" w:rsidRDefault="00E609BA">
      <w:r>
        <w:separator/>
      </w:r>
    </w:p>
  </w:footnote>
  <w:footnote w:type="continuationSeparator" w:id="0">
    <w:p w:rsidR="00E609BA" w:rsidRDefault="00E609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7C0E"/>
    <w:multiLevelType w:val="multilevel"/>
    <w:tmpl w:val="0360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6216AA"/>
    <w:multiLevelType w:val="multilevel"/>
    <w:tmpl w:val="5BE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103CE8"/>
    <w:multiLevelType w:val="multilevel"/>
    <w:tmpl w:val="B5D4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DC44EB"/>
    <w:multiLevelType w:val="hybridMultilevel"/>
    <w:tmpl w:val="7F86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F65AF"/>
    <w:multiLevelType w:val="hybridMultilevel"/>
    <w:tmpl w:val="757A3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F359D9"/>
    <w:multiLevelType w:val="hybridMultilevel"/>
    <w:tmpl w:val="3522A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7D0A3F"/>
    <w:multiLevelType w:val="hybridMultilevel"/>
    <w:tmpl w:val="7EB8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05D0F"/>
    <w:multiLevelType w:val="hybridMultilevel"/>
    <w:tmpl w:val="884E904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FE868F2"/>
    <w:multiLevelType w:val="multilevel"/>
    <w:tmpl w:val="A4A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423B35"/>
    <w:multiLevelType w:val="hybridMultilevel"/>
    <w:tmpl w:val="1A7C6A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6B6ADC"/>
    <w:multiLevelType w:val="multilevel"/>
    <w:tmpl w:val="6FE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2B1958"/>
    <w:multiLevelType w:val="multilevel"/>
    <w:tmpl w:val="F0C2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6FC71E2"/>
    <w:multiLevelType w:val="multilevel"/>
    <w:tmpl w:val="6952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7D72EF"/>
    <w:multiLevelType w:val="hybridMultilevel"/>
    <w:tmpl w:val="08AC06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02A1D51"/>
    <w:multiLevelType w:val="hybridMultilevel"/>
    <w:tmpl w:val="AC5A9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C11ECB"/>
    <w:multiLevelType w:val="hybridMultilevel"/>
    <w:tmpl w:val="28FCC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12310A"/>
    <w:multiLevelType w:val="hybridMultilevel"/>
    <w:tmpl w:val="101A3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2974C8"/>
    <w:multiLevelType w:val="hybridMultilevel"/>
    <w:tmpl w:val="F0B2808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0F2524"/>
    <w:multiLevelType w:val="hybridMultilevel"/>
    <w:tmpl w:val="2788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D23D43"/>
    <w:multiLevelType w:val="hybridMultilevel"/>
    <w:tmpl w:val="E452D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C95355"/>
    <w:multiLevelType w:val="hybridMultilevel"/>
    <w:tmpl w:val="797A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62352"/>
    <w:multiLevelType w:val="hybridMultilevel"/>
    <w:tmpl w:val="6302B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50160"/>
    <w:multiLevelType w:val="hybridMultilevel"/>
    <w:tmpl w:val="DAE28F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0D0EC1"/>
    <w:multiLevelType w:val="multilevel"/>
    <w:tmpl w:val="594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E94D83"/>
    <w:multiLevelType w:val="hybridMultilevel"/>
    <w:tmpl w:val="ABD6C7F2"/>
    <w:lvl w:ilvl="0" w:tplc="101456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C043148"/>
    <w:multiLevelType w:val="hybridMultilevel"/>
    <w:tmpl w:val="BEA4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95615D"/>
    <w:multiLevelType w:val="hybridMultilevel"/>
    <w:tmpl w:val="EBCEC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B34AB4"/>
    <w:multiLevelType w:val="hybridMultilevel"/>
    <w:tmpl w:val="3BC8D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F1803DD"/>
    <w:multiLevelType w:val="multilevel"/>
    <w:tmpl w:val="BC6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3"/>
  </w:num>
  <w:num w:numId="3">
    <w:abstractNumId w:val="16"/>
  </w:num>
  <w:num w:numId="4">
    <w:abstractNumId w:val="8"/>
  </w:num>
  <w:num w:numId="5">
    <w:abstractNumId w:val="1"/>
  </w:num>
  <w:num w:numId="6">
    <w:abstractNumId w:val="14"/>
  </w:num>
  <w:num w:numId="7">
    <w:abstractNumId w:val="4"/>
  </w:num>
  <w:num w:numId="8">
    <w:abstractNumId w:val="15"/>
  </w:num>
  <w:num w:numId="9">
    <w:abstractNumId w:val="23"/>
  </w:num>
  <w:num w:numId="10">
    <w:abstractNumId w:val="2"/>
  </w:num>
  <w:num w:numId="11">
    <w:abstractNumId w:val="11"/>
  </w:num>
  <w:num w:numId="12">
    <w:abstractNumId w:val="10"/>
  </w:num>
  <w:num w:numId="13">
    <w:abstractNumId w:val="0"/>
  </w:num>
  <w:num w:numId="14">
    <w:abstractNumId w:val="28"/>
  </w:num>
  <w:num w:numId="15">
    <w:abstractNumId w:val="12"/>
  </w:num>
  <w:num w:numId="16">
    <w:abstractNumId w:val="27"/>
  </w:num>
  <w:num w:numId="17">
    <w:abstractNumId w:val="17"/>
  </w:num>
  <w:num w:numId="18">
    <w:abstractNumId w:val="24"/>
  </w:num>
  <w:num w:numId="19">
    <w:abstractNumId w:val="26"/>
  </w:num>
  <w:num w:numId="20">
    <w:abstractNumId w:val="5"/>
  </w:num>
  <w:num w:numId="21">
    <w:abstractNumId w:val="25"/>
  </w:num>
  <w:num w:numId="22">
    <w:abstractNumId w:val="6"/>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9"/>
  </w:num>
  <w:num w:numId="26">
    <w:abstractNumId w:val="20"/>
  </w:num>
  <w:num w:numId="27">
    <w:abstractNumId w:val="18"/>
  </w:num>
  <w:num w:numId="28">
    <w:abstractNumId w:val="9"/>
  </w:num>
  <w:num w:numId="29">
    <w:abstractNumId w:val="22"/>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
  <w:rsids>
    <w:rsidRoot w:val="00C9482F"/>
    <w:rsid w:val="00024562"/>
    <w:rsid w:val="000467D7"/>
    <w:rsid w:val="00066F45"/>
    <w:rsid w:val="000762E8"/>
    <w:rsid w:val="00084B0D"/>
    <w:rsid w:val="00087175"/>
    <w:rsid w:val="000D582D"/>
    <w:rsid w:val="00111A37"/>
    <w:rsid w:val="00113457"/>
    <w:rsid w:val="00133906"/>
    <w:rsid w:val="00143787"/>
    <w:rsid w:val="00190D72"/>
    <w:rsid w:val="001A1345"/>
    <w:rsid w:val="001C16D7"/>
    <w:rsid w:val="001D108C"/>
    <w:rsid w:val="001E7B8D"/>
    <w:rsid w:val="0022226D"/>
    <w:rsid w:val="002518CE"/>
    <w:rsid w:val="002A6928"/>
    <w:rsid w:val="002A6E9F"/>
    <w:rsid w:val="00306685"/>
    <w:rsid w:val="00317EA3"/>
    <w:rsid w:val="00341CF8"/>
    <w:rsid w:val="00383E0E"/>
    <w:rsid w:val="003C59A3"/>
    <w:rsid w:val="003F4C91"/>
    <w:rsid w:val="004046B4"/>
    <w:rsid w:val="0040730B"/>
    <w:rsid w:val="00411E20"/>
    <w:rsid w:val="00411FBC"/>
    <w:rsid w:val="00421D1A"/>
    <w:rsid w:val="004834BE"/>
    <w:rsid w:val="0049187D"/>
    <w:rsid w:val="004936CF"/>
    <w:rsid w:val="004D1DB5"/>
    <w:rsid w:val="004D33A1"/>
    <w:rsid w:val="004D6FAE"/>
    <w:rsid w:val="005059AB"/>
    <w:rsid w:val="00553F5A"/>
    <w:rsid w:val="005610DE"/>
    <w:rsid w:val="00573E29"/>
    <w:rsid w:val="00577CAB"/>
    <w:rsid w:val="005D07AB"/>
    <w:rsid w:val="005D52B8"/>
    <w:rsid w:val="005D7858"/>
    <w:rsid w:val="005E5E56"/>
    <w:rsid w:val="005F52C0"/>
    <w:rsid w:val="0062225B"/>
    <w:rsid w:val="00635857"/>
    <w:rsid w:val="00647A7F"/>
    <w:rsid w:val="006656CB"/>
    <w:rsid w:val="00677D8E"/>
    <w:rsid w:val="00690FEA"/>
    <w:rsid w:val="006A6D3B"/>
    <w:rsid w:val="006C660A"/>
    <w:rsid w:val="006E21E0"/>
    <w:rsid w:val="00702851"/>
    <w:rsid w:val="007151CC"/>
    <w:rsid w:val="007205A6"/>
    <w:rsid w:val="00723149"/>
    <w:rsid w:val="00725B90"/>
    <w:rsid w:val="00780375"/>
    <w:rsid w:val="007C4959"/>
    <w:rsid w:val="007E74DE"/>
    <w:rsid w:val="007F7743"/>
    <w:rsid w:val="00801C4C"/>
    <w:rsid w:val="008338EC"/>
    <w:rsid w:val="00842463"/>
    <w:rsid w:val="008519E5"/>
    <w:rsid w:val="00863CF4"/>
    <w:rsid w:val="00874D1D"/>
    <w:rsid w:val="0087792C"/>
    <w:rsid w:val="00883192"/>
    <w:rsid w:val="008910E2"/>
    <w:rsid w:val="00892551"/>
    <w:rsid w:val="00895805"/>
    <w:rsid w:val="008C2036"/>
    <w:rsid w:val="008C62EF"/>
    <w:rsid w:val="008C77E3"/>
    <w:rsid w:val="008C78DC"/>
    <w:rsid w:val="00910BCB"/>
    <w:rsid w:val="009235D3"/>
    <w:rsid w:val="00926715"/>
    <w:rsid w:val="009276A3"/>
    <w:rsid w:val="00944A47"/>
    <w:rsid w:val="00945E89"/>
    <w:rsid w:val="00947F37"/>
    <w:rsid w:val="00952268"/>
    <w:rsid w:val="00956456"/>
    <w:rsid w:val="009575DA"/>
    <w:rsid w:val="00980B85"/>
    <w:rsid w:val="00984914"/>
    <w:rsid w:val="009965A2"/>
    <w:rsid w:val="009B64F3"/>
    <w:rsid w:val="009D50E0"/>
    <w:rsid w:val="009F70BD"/>
    <w:rsid w:val="00A15FAC"/>
    <w:rsid w:val="00A16622"/>
    <w:rsid w:val="00A448F3"/>
    <w:rsid w:val="00A83A63"/>
    <w:rsid w:val="00A86511"/>
    <w:rsid w:val="00A943F0"/>
    <w:rsid w:val="00AB66C9"/>
    <w:rsid w:val="00AC6AF3"/>
    <w:rsid w:val="00AD79E1"/>
    <w:rsid w:val="00AF0CFF"/>
    <w:rsid w:val="00AF1718"/>
    <w:rsid w:val="00B0337E"/>
    <w:rsid w:val="00B077F6"/>
    <w:rsid w:val="00B40E21"/>
    <w:rsid w:val="00B4199C"/>
    <w:rsid w:val="00B6351B"/>
    <w:rsid w:val="00B72A19"/>
    <w:rsid w:val="00B91147"/>
    <w:rsid w:val="00BD223D"/>
    <w:rsid w:val="00BD671E"/>
    <w:rsid w:val="00BD6A24"/>
    <w:rsid w:val="00BE3FA2"/>
    <w:rsid w:val="00C0749E"/>
    <w:rsid w:val="00C2444D"/>
    <w:rsid w:val="00C40159"/>
    <w:rsid w:val="00C936AE"/>
    <w:rsid w:val="00C9482F"/>
    <w:rsid w:val="00CA6CD7"/>
    <w:rsid w:val="00CB081D"/>
    <w:rsid w:val="00CB51C7"/>
    <w:rsid w:val="00D100F1"/>
    <w:rsid w:val="00D24AF1"/>
    <w:rsid w:val="00D26B26"/>
    <w:rsid w:val="00D30C84"/>
    <w:rsid w:val="00D32745"/>
    <w:rsid w:val="00D62AB9"/>
    <w:rsid w:val="00D76DF7"/>
    <w:rsid w:val="00D90A50"/>
    <w:rsid w:val="00DE30C3"/>
    <w:rsid w:val="00DE4BA9"/>
    <w:rsid w:val="00E101F4"/>
    <w:rsid w:val="00E609BA"/>
    <w:rsid w:val="00E65B08"/>
    <w:rsid w:val="00E73318"/>
    <w:rsid w:val="00EB3879"/>
    <w:rsid w:val="00EB3CF7"/>
    <w:rsid w:val="00EC5DCC"/>
    <w:rsid w:val="00F07C9E"/>
    <w:rsid w:val="00F272D3"/>
    <w:rsid w:val="00F34980"/>
    <w:rsid w:val="00F41B61"/>
    <w:rsid w:val="00F54E2B"/>
    <w:rsid w:val="00F774F7"/>
    <w:rsid w:val="00F90A3D"/>
    <w:rsid w:val="00FA5618"/>
    <w:rsid w:val="00FA5AA5"/>
    <w:rsid w:val="00FA603D"/>
    <w:rsid w:val="00FA6507"/>
    <w:rsid w:val="00FC1A85"/>
    <w:rsid w:val="00FC2904"/>
    <w:rsid w:val="00FF09B8"/>
    <w:rsid w:val="00FF7038"/>
    <w:rsid w:val="00FF70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0A50"/>
    <w:rPr>
      <w:sz w:val="24"/>
      <w:szCs w:val="24"/>
      <w:lang w:eastAsia="zh-CN"/>
    </w:rPr>
  </w:style>
  <w:style w:type="paragraph" w:styleId="Heading2">
    <w:name w:val="heading 2"/>
    <w:basedOn w:val="Normal"/>
    <w:next w:val="Normal"/>
    <w:qFormat/>
    <w:rsid w:val="00EB3879"/>
    <w:pPr>
      <w:keepNext/>
      <w:spacing w:before="240" w:after="60"/>
      <w:outlineLvl w:val="1"/>
    </w:pPr>
    <w:rPr>
      <w:rFonts w:ascii="Arial" w:hAnsi="Arial" w:cs="Arial"/>
      <w:b/>
      <w:bCs/>
      <w:i/>
      <w:iCs/>
      <w:sz w:val="28"/>
      <w:szCs w:val="28"/>
    </w:rPr>
  </w:style>
  <w:style w:type="paragraph" w:styleId="Heading5">
    <w:name w:val="heading 5"/>
    <w:basedOn w:val="Normal"/>
    <w:qFormat/>
    <w:rsid w:val="00EB3879"/>
    <w:pPr>
      <w:spacing w:before="100" w:beforeAutospacing="1" w:after="100" w:afterAutospacing="1"/>
      <w:outlineLvl w:val="4"/>
    </w:pPr>
    <w:rPr>
      <w:b/>
      <w:bCs/>
      <w:sz w:val="20"/>
      <w:szCs w:val="20"/>
    </w:rPr>
  </w:style>
  <w:style w:type="paragraph" w:styleId="Heading6">
    <w:name w:val="heading 6"/>
    <w:basedOn w:val="Normal"/>
    <w:next w:val="Normal"/>
    <w:qFormat/>
    <w:rsid w:val="00EB387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B3879"/>
    <w:rPr>
      <w:rFonts w:ascii="Courier New" w:hAnsi="Courier New" w:cs="Courier New"/>
      <w:sz w:val="20"/>
      <w:szCs w:val="20"/>
    </w:rPr>
  </w:style>
  <w:style w:type="character" w:styleId="FollowedHyperlink">
    <w:name w:val="FollowedHyperlink"/>
    <w:basedOn w:val="DefaultParagraphFont"/>
    <w:rsid w:val="00EB3879"/>
    <w:rPr>
      <w:color w:val="800080"/>
      <w:u w:val="single"/>
    </w:rPr>
  </w:style>
  <w:style w:type="paragraph" w:styleId="NormalWeb">
    <w:name w:val="Normal (Web)"/>
    <w:basedOn w:val="Normal"/>
    <w:rsid w:val="00EB3879"/>
    <w:pPr>
      <w:spacing w:before="100" w:beforeAutospacing="1" w:after="100" w:afterAutospacing="1"/>
    </w:pPr>
  </w:style>
  <w:style w:type="paragraph" w:customStyle="1" w:styleId="tl">
    <w:name w:val="tl"/>
    <w:basedOn w:val="Normal"/>
    <w:rsid w:val="00EB3879"/>
    <w:pPr>
      <w:spacing w:before="100" w:beforeAutospacing="1" w:after="100" w:afterAutospacing="1"/>
    </w:pPr>
  </w:style>
  <w:style w:type="paragraph" w:styleId="HTMLPreformatted">
    <w:name w:val="HTML Preformatted"/>
    <w:basedOn w:val="Normal"/>
    <w:rsid w:val="00E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basedOn w:val="DefaultParagraphFont"/>
    <w:rsid w:val="00EB3879"/>
    <w:rPr>
      <w:rFonts w:ascii="Courier New" w:eastAsia="SimSun" w:hAnsi="Courier New" w:cs="Courier New"/>
      <w:sz w:val="20"/>
      <w:szCs w:val="20"/>
    </w:rPr>
  </w:style>
  <w:style w:type="character" w:styleId="Hyperlink">
    <w:name w:val="Hyperlink"/>
    <w:basedOn w:val="DefaultParagraphFont"/>
    <w:rsid w:val="00EB3879"/>
    <w:rPr>
      <w:color w:val="0000FF"/>
      <w:u w:val="single"/>
    </w:rPr>
  </w:style>
  <w:style w:type="paragraph" w:styleId="Footer">
    <w:name w:val="footer"/>
    <w:basedOn w:val="Normal"/>
    <w:rsid w:val="00EB3879"/>
    <w:pPr>
      <w:tabs>
        <w:tab w:val="center" w:pos="4320"/>
        <w:tab w:val="right" w:pos="8640"/>
      </w:tabs>
    </w:pPr>
  </w:style>
  <w:style w:type="character" w:styleId="PageNumber">
    <w:name w:val="page number"/>
    <w:basedOn w:val="DefaultParagraphFont"/>
    <w:rsid w:val="00EB3879"/>
  </w:style>
  <w:style w:type="paragraph" w:styleId="BodyTextIndent">
    <w:name w:val="Body Text Indent"/>
    <w:basedOn w:val="Normal"/>
    <w:rsid w:val="00EB3879"/>
    <w:pPr>
      <w:ind w:left="720"/>
    </w:pPr>
    <w:rPr>
      <w:rFonts w:ascii="Arial" w:hAnsi="Arial" w:cs="Arial"/>
      <w:i/>
    </w:rPr>
  </w:style>
  <w:style w:type="character" w:customStyle="1" w:styleId="EmailStyle251">
    <w:name w:val="EmailStyle25"/>
    <w:aliases w:val="EmailStyle25"/>
    <w:basedOn w:val="DefaultParagraphFont"/>
    <w:semiHidden/>
    <w:personal/>
    <w:personalCompose/>
    <w:rsid w:val="00A15FAC"/>
    <w:rPr>
      <w:rFonts w:ascii="Arial" w:hAnsi="Arial" w:cs="Arial"/>
      <w:color w:val="auto"/>
      <w:sz w:val="20"/>
      <w:szCs w:val="20"/>
    </w:rPr>
  </w:style>
  <w:style w:type="paragraph" w:styleId="Header">
    <w:name w:val="header"/>
    <w:basedOn w:val="Normal"/>
    <w:rsid w:val="00EB3CF7"/>
    <w:pPr>
      <w:tabs>
        <w:tab w:val="center" w:pos="4320"/>
        <w:tab w:val="right" w:pos="8640"/>
      </w:tabs>
    </w:pPr>
  </w:style>
  <w:style w:type="paragraph" w:styleId="ListParagraph">
    <w:name w:val="List Paragraph"/>
    <w:basedOn w:val="Normal"/>
    <w:uiPriority w:val="34"/>
    <w:qFormat/>
    <w:rsid w:val="00FA5AA5"/>
    <w:pPr>
      <w:ind w:left="720"/>
    </w:pPr>
    <w:rPr>
      <w:rFonts w:ascii="Calibri" w:eastAsia="Calibri" w:hAnsi="Calibri"/>
      <w:sz w:val="22"/>
      <w:szCs w:val="22"/>
      <w:lang w:eastAsia="en-US"/>
    </w:rPr>
  </w:style>
  <w:style w:type="paragraph" w:styleId="BalloonText">
    <w:name w:val="Balloon Text"/>
    <w:basedOn w:val="Normal"/>
    <w:link w:val="BalloonTextChar"/>
    <w:rsid w:val="00066F45"/>
    <w:rPr>
      <w:rFonts w:ascii="Tahoma" w:hAnsi="Tahoma" w:cs="Tahoma"/>
      <w:sz w:val="16"/>
      <w:szCs w:val="16"/>
    </w:rPr>
  </w:style>
  <w:style w:type="character" w:customStyle="1" w:styleId="BalloonTextChar">
    <w:name w:val="Balloon Text Char"/>
    <w:basedOn w:val="DefaultParagraphFont"/>
    <w:link w:val="BalloonText"/>
    <w:rsid w:val="00066F45"/>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559555346">
      <w:bodyDiv w:val="1"/>
      <w:marLeft w:val="0"/>
      <w:marRight w:val="0"/>
      <w:marTop w:val="0"/>
      <w:marBottom w:val="0"/>
      <w:divBdr>
        <w:top w:val="none" w:sz="0" w:space="0" w:color="auto"/>
        <w:left w:val="none" w:sz="0" w:space="0" w:color="auto"/>
        <w:bottom w:val="none" w:sz="0" w:space="0" w:color="auto"/>
        <w:right w:val="none" w:sz="0" w:space="0" w:color="auto"/>
      </w:divBdr>
    </w:div>
    <w:div w:id="2012944966">
      <w:bodyDiv w:val="1"/>
      <w:marLeft w:val="0"/>
      <w:marRight w:val="0"/>
      <w:marTop w:val="0"/>
      <w:marBottom w:val="0"/>
      <w:divBdr>
        <w:top w:val="none" w:sz="0" w:space="0" w:color="auto"/>
        <w:left w:val="none" w:sz="0" w:space="0" w:color="auto"/>
        <w:bottom w:val="none" w:sz="0" w:space="0" w:color="auto"/>
        <w:right w:val="none" w:sz="0" w:space="0" w:color="auto"/>
      </w:divBdr>
    </w:div>
    <w:div w:id="205214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D38FD-D232-4DB8-A1DB-D2D2CECB5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11</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About the Database RCCDATA_PCCW0430</vt:lpstr>
    </vt:vector>
  </TitlesOfParts>
  <Company/>
  <LinksUpToDate>false</LinksUpToDate>
  <CharactersWithSpaces>13396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Database RCCDATA_PCCW0430</dc:title>
  <dc:subject/>
  <dc:creator>pc</dc:creator>
  <cp:keywords/>
  <dc:description/>
  <cp:lastModifiedBy>chris.zhao</cp:lastModifiedBy>
  <cp:revision>66</cp:revision>
  <cp:lastPrinted>2005-05-18T18:33:00Z</cp:lastPrinted>
  <dcterms:created xsi:type="dcterms:W3CDTF">2011-10-11T19:57:00Z</dcterms:created>
  <dcterms:modified xsi:type="dcterms:W3CDTF">2011-10-13T00:05:00Z</dcterms:modified>
</cp:coreProperties>
</file>