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20" w:before="0" w:line="259" w:lineRule="auto"/>
      </w:pPr>
      <w:r>
        <w:rPr>
          <w:rFonts w:ascii="Calibri" w:hAnsi="Calibri"/>
          <w:b/>
          <w:i w:val="0"/>
          <w:color w:val="007F86"/>
          <w:sz w:val="18"/>
        </w:rPr>
        <w:t>GW-400  /  GATEWAY PRO</w:t>
      </w:r>
    </w:p>
    <w:p>
      <w:pPr>
        <w:pStyle w:val="Title"/>
        <w:widowControl/>
      </w:pPr>
      <w:r>
        <w:t>Product Overview &amp; Features</w:t>
      </w:r>
    </w:p>
    <w:p>
      <w:pPr>
        <w:widowControl/>
        <w:spacing w:after="260" w:before="0" w:line="259" w:lineRule="auto"/>
      </w:pPr>
      <w:r>
        <w:rPr>
          <w:rFonts w:ascii="Calibri" w:hAnsi="Calibri"/>
          <w:b w:val="0"/>
          <w:i w:val="0"/>
          <w:color w:val="617381"/>
          <w:sz w:val="30"/>
        </w:rPr>
        <w:t>AI-enabled meeting collaboration gateway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947"/>
        <w:gridCol w:w="4334"/>
      </w:tblGrid>
      <w:tr>
        <w:trPr>
          <w:cantSplit/>
        </w:trPr>
        <w:tc>
          <w:tcPr>
            <w:tcW w:type="dxa" w:w="5947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tcMar>
              <w:top w:w="0" w:type="dxa"/>
              <w:bottom w:w="0" w:type="dxa"/>
              <w:left w:w="0" w:type="dxa"/>
              <w:right w:w="200" w:type="dxa"/>
            </w:tcMar>
          </w:tcPr>
          <w:p>
            <w:pPr>
              <w:widowControl/>
              <w:spacing w:after="180" w:before="0" w:line="252" w:lineRule="auto"/>
            </w:pPr>
            <w:r>
              <w:rPr>
                <w:rFonts w:ascii="Calibri" w:hAnsi="Calibri"/>
                <w:b/>
                <w:i w:val="0"/>
                <w:color w:val="173047"/>
                <w:sz w:val="36"/>
              </w:rPr>
              <w:t>Share the screen.</w:t>
              <w:br/>
              <w:t>Make the discussion visible.</w:t>
            </w:r>
          </w:p>
          <w:p>
            <w:pPr>
              <w:widowControl/>
              <w:spacing w:after="120" w:before="0" w:line="259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1"/>
              </w:rPr>
              <w:t>The iDma GW-400 (Gateway Pro) adds wireless presentation, live annotation and a shared whiteboard to an existing room display. Presenters keep control of their computers while colleagues contribute from compatible phones, tablets or optional iDma AI Boards.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[1, 2, 3]</w:t>
            </w:r>
          </w:p>
          <w:p>
            <w:pPr>
              <w:widowControl/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1"/>
              </w:rPr>
              <w:t>Core collaboration works on the room network. Optional cloud services add live transcription, bilingual text captions and illustrated AI meeting minutes.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[2, 4, 5]</w:t>
            </w:r>
          </w:p>
        </w:tc>
        <w:tc>
          <w:tcPr>
            <w:tcW w:type="dxa" w:w="4334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tcMar>
              <w:top w:w="0" w:type="dxa"/>
              <w:bottom w:w="0" w:type="dxa"/>
              <w:left w:w="80" w:type="dxa"/>
              <w:right w:w="0" w:type="dxa"/>
            </w:tcMar>
          </w:tcPr>
          <w:p>
            <w:pPr>
              <w:widowControl/>
              <w:spacing w:after="100"/>
            </w:pPr>
            <w:r>
              <w:drawing>
                <wp:inline xmlns:a="http://schemas.openxmlformats.org/drawingml/2006/main" xmlns:pic="http://schemas.openxmlformats.org/drawingml/2006/picture">
                  <wp:extent cx="2688336" cy="1695548"/>
                  <wp:docPr id="1" name="Picture 1" descr="Gateway Pro reference photo from iDma product materials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8336" cy="1695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after="140" w:before="0" w:line="240" w:lineRule="auto"/>
            </w:pPr>
            <w:r>
              <w:rPr>
                <w:rFonts w:ascii="Calibri" w:hAnsi="Calibri"/>
                <w:b w:val="0"/>
                <w:i w:val="0"/>
                <w:color w:val="617381"/>
                <w:sz w:val="16"/>
              </w:rPr>
              <w:t>Gateway Pro reference photo</w:t>
              <w:br/>
              <w:t>From iDma product materials. [7]</w:t>
            </w:r>
          </w:p>
          <w:p>
            <w:pPr>
              <w:widowControl/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1"/>
              </w:rPr>
              <w:t>Primary meeting rooms</w:t>
            </w:r>
          </w:p>
          <w:p>
            <w:pPr>
              <w:widowControl/>
              <w:spacing w:after="0" w:before="0" w:line="259" w:lineRule="auto"/>
            </w:pPr>
            <w:r>
              <w:rPr>
                <w:rFonts w:ascii="Calibri" w:hAnsi="Calibri"/>
                <w:b w:val="0"/>
                <w:i w:val="0"/>
                <w:color w:val="617381"/>
                <w:sz w:val="18"/>
              </w:rPr>
              <w:t>Design reviews  |  Training</w:t>
              <w:br/>
              <w:t>Client presentations  |  Team discussions</w:t>
            </w:r>
          </w:p>
        </w:tc>
      </w:tr>
    </w:tbl>
    <w:p>
      <w:pPr>
        <w:widowControl/>
        <w:spacing w:after="0" w:before="0" w:line="160" w:lineRule="exact"/>
      </w:pPr>
      <w:r>
        <w:rPr>
          <w:sz w:val="2"/>
        </w:rPr>
      </w:r>
    </w:p>
    <w:p>
      <w:pPr>
        <w:widowControl/>
        <w:spacing w:after="100" w:before="0" w:line="259" w:lineRule="auto"/>
      </w:pPr>
      <w:r>
        <w:rPr>
          <w:rFonts w:ascii="Calibri" w:hAnsi="Calibri"/>
          <w:b/>
          <w:i w:val="0"/>
          <w:color w:val="007F86"/>
          <w:sz w:val="18"/>
        </w:rPr>
        <w:t>KEY FEATURES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2F7F9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01  Join without a participant app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Present from a compatible browser or supported native casting. Guests scan the room QR code and enter the PIN to participate, avoiding a separate software rollout to each device.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[2, 3]</w:t>
            </w:r>
          </w:p>
        </w:tc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2F7F9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02  Annotate without taking over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View, zoom and mark the shared content from a phone or tablet. Managed annotation seats let reviewers contribute while the presenter continues navigating the original material.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[3]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03  Bring real paper into the meeting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Use compatible PP-100, PP-110 or PP-120 AI Boards to add natural handwriting to the presentation or whiteboard. Up to two Bluetooth boards are supported; boards are sold separately.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[1, 3]</w:t>
            </w:r>
          </w:p>
        </w:tc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FFFFF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04  Keep the working pages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Move from presentation markup to a full-screen whiteboard for diagrams, calculations and ideas. Save annotated pages and export a multipage PDF for later reference.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[2, 3, 7]</w:t>
            </w:r>
          </w:p>
        </w:tc>
      </w:tr>
      <w:tr>
        <w:trPr>
          <w:cantSplit/>
        </w:trPr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2F7F9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05  Follow two languages on screen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Optional cloud transcription and bilingual captions display speech as text, with translation when enabled. Attendees can follow captions on a room display or a personal browser page.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[4]</w:t>
            </w:r>
          </w:p>
        </w:tc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2F7F9"/>
            <w:tcMar>
              <w:top w:w="130" w:type="dxa"/>
              <w:bottom w:w="115" w:type="dxa"/>
              <w:left w:w="150" w:type="dxa"/>
              <w:right w:w="17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06  Retain more than a transcript</w:t>
            </w:r>
          </w:p>
          <w:p>
            <w:pPr>
              <w:widowControl/>
              <w:spacing w:after="0" w:before="0" w:line="257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Optional AI visual minutes combine enabled speech, shared-screen context and handwriting into an illustrated meeting record, helping teams review what was discussed and what it referred to.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[5]</w:t>
            </w:r>
          </w:p>
        </w:tc>
      </w:tr>
    </w:tbl>
    <w:p>
      <w:pPr>
        <w:widowControl/>
        <w:spacing w:after="0" w:before="0" w:line="120" w:lineRule="exact"/>
      </w:pPr>
      <w:r>
        <w:rPr>
          <w:sz w:val="2"/>
        </w:rPr>
      </w:r>
    </w:p>
    <w:p>
      <w:pPr>
        <w:widowControl/>
        <w:spacing w:after="0" w:before="0" w:line="240" w:lineRule="auto"/>
      </w:pPr>
      <w:r>
        <w:rPr>
          <w:rFonts w:ascii="Calibri" w:hAnsi="Calibri"/>
          <w:b w:val="0"/>
          <w:i w:val="0"/>
          <w:color w:val="617381"/>
          <w:sz w:val="18"/>
        </w:rPr>
        <w:t>Local collaboration is included. Cloud AI and language services are optional and billed separately. See service scope on page 3.</w:t>
      </w:r>
    </w:p>
    <w:p>
      <w:pPr>
        <w:widowControl/>
      </w:pPr>
      <w:r>
        <w:br w:type="page"/>
      </w:r>
    </w:p>
    <w:p>
      <w:pPr>
        <w:widowControl/>
        <w:spacing w:after="120" w:before="0" w:line="259" w:lineRule="auto"/>
      </w:pPr>
      <w:r>
        <w:rPr>
          <w:rFonts w:ascii="Calibri" w:hAnsi="Calibri"/>
          <w:b/>
          <w:i w:val="0"/>
          <w:color w:val="007F86"/>
          <w:sz w:val="18"/>
        </w:rPr>
        <w:t>HOW IT WORKS  /  FUNCTIONAL SPECIFICATIONS</w:t>
      </w:r>
    </w:p>
    <w:p>
      <w:pPr>
        <w:pStyle w:val="Heading1"/>
        <w:widowControl/>
      </w:pPr>
      <w:r>
        <w:t>From arrival to follow-up</w:t>
      </w:r>
    </w:p>
    <w:p>
      <w:pPr>
        <w:widowControl/>
        <w:spacing w:after="200" w:before="0" w:line="259" w:lineRule="auto"/>
      </w:pPr>
      <w:r>
        <w:rPr>
          <w:rFonts w:ascii="Calibri" w:hAnsi="Calibri"/>
          <w:b w:val="0"/>
          <w:i w:val="0"/>
          <w:color w:val="617381"/>
          <w:sz w:val="22"/>
        </w:rPr>
        <w:t>A connected workflow for presenting, contributing and keeping the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3427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EEF6F7"/>
            <w:tcMar>
              <w:top w:w="150" w:type="dxa"/>
              <w:bottom w:w="145" w:type="dxa"/>
              <w:left w:w="150" w:type="dxa"/>
              <w:right w:w="15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6"/>
              </w:rPr>
              <w:t>BEFORE</w:t>
            </w:r>
          </w:p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4"/>
              </w:rPr>
              <w:t>Open &amp; share</w:t>
            </w:r>
          </w:p>
          <w:p>
            <w:pPr>
              <w:widowControl/>
              <w:spacing w:after="0" w:before="0" w:line="254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Connect the display and room network. Share from a compatible browser or casting method.</w:t>
            </w:r>
          </w:p>
        </w:tc>
        <w:tc>
          <w:tcPr>
            <w:tcW w:type="dxa" w:w="3427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EEF6F7"/>
            <w:tcMar>
              <w:top w:w="150" w:type="dxa"/>
              <w:bottom w:w="145" w:type="dxa"/>
              <w:left w:w="150" w:type="dxa"/>
              <w:right w:w="15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6"/>
              </w:rPr>
              <w:t>DURING</w:t>
            </w:r>
          </w:p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4"/>
              </w:rPr>
              <w:t>Write &amp; discuss</w:t>
            </w:r>
          </w:p>
          <w:p>
            <w:pPr>
              <w:widowControl/>
              <w:spacing w:after="0" w:before="0" w:line="254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Scan to join, follow the content and request annotation. Add paper input with an optional AI Board.</w:t>
            </w:r>
          </w:p>
        </w:tc>
        <w:tc>
          <w:tcPr>
            <w:tcW w:type="dxa" w:w="3427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EEF6F7"/>
            <w:tcMar>
              <w:top w:w="150" w:type="dxa"/>
              <w:bottom w:w="145" w:type="dxa"/>
              <w:left w:w="150" w:type="dxa"/>
              <w:right w:w="15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6"/>
              </w:rPr>
              <w:t>AFTER</w:t>
            </w:r>
          </w:p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4"/>
              </w:rPr>
              <w:t>Review &amp; reuse</w:t>
            </w:r>
          </w:p>
          <w:p>
            <w:pPr>
              <w:widowControl/>
              <w:spacing w:after="0" w:before="0" w:line="254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Save annotated pages. With cloud AI enabled, generate visual minutes for review and follow-up.</w:t>
            </w:r>
          </w:p>
        </w:tc>
      </w:tr>
    </w:tbl>
    <w:p>
      <w:pPr>
        <w:widowControl/>
        <w:spacing w:after="0" w:before="0" w:line="160" w:lineRule="exact"/>
      </w:pPr>
      <w:r>
        <w:rPr>
          <w:sz w:val="2"/>
        </w:rPr>
      </w:r>
    </w:p>
    <w:p>
      <w:pPr>
        <w:widowControl/>
        <w:spacing w:after="100" w:before="0" w:line="259" w:lineRule="auto"/>
      </w:pPr>
      <w:r>
        <w:rPr>
          <w:rFonts w:ascii="Calibri" w:hAnsi="Calibri"/>
          <w:b/>
          <w:i w:val="0"/>
          <w:color w:val="007F86"/>
          <w:sz w:val="18"/>
        </w:rPr>
        <w:t>CAPABILITIES THAT MATTER IN THE ROOM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261"/>
        <w:gridCol w:w="8021"/>
      </w:tblGrid>
      <w:tr>
        <w:trPr>
          <w:cantSplit/>
          <w:tblHeader/>
        </w:trPr>
        <w:tc>
          <w:tcPr>
            <w:tcW w:type="dxa" w:w="226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173047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FUNCTION</w:t>
            </w:r>
          </w:p>
        </w:tc>
        <w:tc>
          <w:tcPr>
            <w:tcW w:type="dxa" w:w="802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173047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9" w:lineRule="auto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GW-400 / GATEWAY PRO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Presentation &amp; participation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Browser-based sharing, including WebRTC visuals, and supported native casting. Windows, macOS, iOS and Android use compatible sharing or browser-participation paths. [1, 2, 3]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Dual-display capability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4K dual-display support with HDMI and DisplayPort connectivity. Supported resolution and refresh combinations depend on the connected displays and configuration. [1]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Mobile collaboration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Up to 8 Pad participants online, with up to 2 simultaneous annotation seats. “Pad” means the compatible phone/tablet browser experience, not an included tablet. [1, 3]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Real-paper input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Up to 2 compatible Bluetooth iDma AI Boards. PP-100, PP-110 and PP-120 support pen-on-paper participation and are optional accessories. [1, 3]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Whiteboard &amp; records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Full-screen shared whiteboard, presentation annotation and saved annotated pages with multipage PDF export. [2, 3, 7]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Local network operation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Sharing, whiteboarding and annotation can operate on the local room network without internet access. Cloud services require internet connectivity. [2, 5]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Live language (optional)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  <w:shd w:fill="F2F6F8"/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Real-time transcription and bilingual text captions. Base languages: Chinese, English, Cantonese, Japanese and Korean. Other languages and usage follow the selected service configuration. [4]</w:t>
            </w:r>
          </w:p>
        </w:tc>
      </w:tr>
      <w:tr>
        <w:trPr>
          <w:cantSplit/>
        </w:trPr>
        <w:tc>
          <w:tcPr>
            <w:tcW w:type="dxa" w:w="226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/>
                <w:i w:val="0"/>
                <w:color w:val="173047"/>
                <w:sz w:val="20"/>
              </w:rPr>
              <w:t>Visual minutes (optional)</w:t>
            </w:r>
          </w:p>
        </w:tc>
        <w:tc>
          <w:tcPr>
            <w:tcW w:type="dxa" w:w="8021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AI-generated meeting records can combine enabled speech, screen content and handwriting. Output depends on available inputs and should be reviewed before business use. [5]</w:t>
            </w:r>
          </w:p>
        </w:tc>
      </w:tr>
    </w:tbl>
    <w:p>
      <w:pPr>
        <w:widowControl/>
        <w:spacing w:after="0" w:before="0" w:line="180" w:lineRule="exact"/>
      </w:pPr>
      <w:r>
        <w:rPr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41"/>
        <w:gridCol w:w="5141"/>
      </w:tblGrid>
      <w:tr>
        <w:trPr>
          <w:cantSplit/>
        </w:trPr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EEF6F7"/>
            <w:tcMar>
              <w:top w:w="130" w:type="dxa"/>
              <w:bottom w:w="125" w:type="dxa"/>
              <w:left w:w="150" w:type="dxa"/>
              <w:right w:w="16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8"/>
              </w:rPr>
              <w:t>INCLUDED WITH THE GATEWAY</w:t>
            </w:r>
          </w:p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Long-term Gateway Standard software usage rights for local collaboration. The one-year term refers to the hardware warranty, not an annual Standard software subscription.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[2]</w:t>
            </w:r>
          </w:p>
        </w:tc>
        <w:tc>
          <w:tcPr>
            <w:tcW w:type="dxa" w:w="5141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2F4F7"/>
            <w:tcMar>
              <w:top w:w="130" w:type="dxa"/>
              <w:bottom w:w="125" w:type="dxa"/>
              <w:left w:w="150" w:type="dxa"/>
              <w:right w:w="16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8"/>
              </w:rPr>
              <w:t>OPTIONAL CLOUD SERVICES</w:t>
            </w:r>
          </w:p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Live transcription, bilingual captions and AI visual minutes require an activated AI service. Pay-as-you-go and room plans are separate from the hardware purchase.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[2, 4]</w:t>
            </w:r>
          </w:p>
        </w:tc>
      </w:tr>
    </w:tbl>
    <w:p>
      <w:pPr>
        <w:widowControl/>
        <w:spacing w:after="0" w:before="0" w:line="120" w:lineRule="exact"/>
      </w:pPr>
      <w:r>
        <w:rPr>
          <w:sz w:val="2"/>
        </w:rPr>
      </w:r>
    </w:p>
    <w:p>
      <w:pPr>
        <w:widowControl/>
        <w:spacing w:after="0" w:before="0" w:line="240" w:lineRule="auto"/>
      </w:pPr>
      <w:r>
        <w:rPr>
          <w:rFonts w:ascii="Calibri" w:hAnsi="Calibri"/>
          <w:b w:val="0"/>
          <w:i w:val="0"/>
          <w:color w:val="617381"/>
          <w:sz w:val="17"/>
        </w:rPr>
        <w:t>Compatibility note: browser participation and full-device mirroring are different functions. Screen capture, audio sharing and permissions depend on the source device, browser and selected connection method.</w:t>
      </w:r>
    </w:p>
    <w:p>
      <w:pPr>
        <w:widowControl/>
      </w:pPr>
      <w:r>
        <w:br w:type="page"/>
      </w:r>
    </w:p>
    <w:p>
      <w:pPr>
        <w:widowControl/>
        <w:spacing w:after="120" w:before="0" w:line="259" w:lineRule="auto"/>
      </w:pPr>
      <w:r>
        <w:rPr>
          <w:rFonts w:ascii="Calibri" w:hAnsi="Calibri"/>
          <w:b/>
          <w:i w:val="0"/>
          <w:color w:val="007F86"/>
          <w:sz w:val="18"/>
        </w:rPr>
        <w:t>PURCHASING DETAILS  /  EDITORIAL REFERENCE</w:t>
      </w:r>
    </w:p>
    <w:p>
      <w:pPr>
        <w:pStyle w:val="Heading1"/>
        <w:widowControl/>
      </w:pPr>
      <w:r>
        <w:t>Package, warranty &amp; service scope</w:t>
      </w:r>
    </w:p>
    <w:p>
      <w:pPr>
        <w:widowControl/>
        <w:spacing w:after="200" w:before="0" w:line="259" w:lineRule="auto"/>
      </w:pPr>
      <w:r>
        <w:rPr>
          <w:rFonts w:ascii="Calibri" w:hAnsi="Calibri"/>
          <w:b w:val="0"/>
          <w:i w:val="0"/>
          <w:color w:val="617381"/>
          <w:sz w:val="22"/>
        </w:rPr>
        <w:t>The essentials for a complete product listing.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443"/>
        <w:gridCol w:w="4838"/>
      </w:tblGrid>
      <w:tr>
        <w:trPr>
          <w:cantSplit/>
        </w:trPr>
        <w:tc>
          <w:tcPr>
            <w:tcW w:type="dxa" w:w="5443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tcMar>
              <w:top w:w="120" w:type="dxa"/>
              <w:bottom w:w="115" w:type="dxa"/>
              <w:left w:w="150" w:type="dxa"/>
              <w:right w:w="180" w:type="dxa"/>
            </w:tcMar>
            <w:shd w:fill="F2F6F8"/>
          </w:tcPr>
          <w:p>
            <w:pPr>
              <w:widowControl/>
              <w:spacing w:after="14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8"/>
              </w:rPr>
              <w:t>PRODUCT IDENTIFICATION</w:t>
            </w:r>
          </w:p>
          <w:p>
            <w:pPr>
              <w:widowControl/>
              <w:spacing w:after="100" w:before="0" w:line="250" w:lineRule="auto"/>
            </w:pPr>
            <w:r>
              <w:rPr>
                <w:rFonts w:ascii="Calibri" w:hAnsi="Calibri"/>
                <w:b/>
                <w:i w:val="0"/>
                <w:color w:val="617381"/>
                <w:sz w:val="18"/>
              </w:rPr>
              <w:t>Brand / supplier</w:t>
              <w:br/>
            </w: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iDma / iDma International Ltd.</w:t>
            </w:r>
          </w:p>
          <w:p>
            <w:pPr>
              <w:widowControl/>
              <w:spacing w:after="100" w:before="0" w:line="250" w:lineRule="auto"/>
            </w:pPr>
            <w:r>
              <w:rPr>
                <w:rFonts w:ascii="Calibri" w:hAnsi="Calibri"/>
                <w:b/>
                <w:i w:val="0"/>
                <w:color w:val="617381"/>
                <w:sz w:val="18"/>
              </w:rPr>
              <w:t>Product model</w:t>
              <w:br/>
            </w: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GW-400</w:t>
            </w:r>
          </w:p>
          <w:p>
            <w:pPr>
              <w:widowControl/>
              <w:spacing w:after="100" w:before="0" w:line="250" w:lineRule="auto"/>
            </w:pPr>
            <w:r>
              <w:rPr>
                <w:rFonts w:ascii="Calibri" w:hAnsi="Calibri"/>
                <w:b/>
                <w:i w:val="0"/>
                <w:color w:val="617381"/>
                <w:sz w:val="18"/>
              </w:rPr>
              <w:t>Commercial designation</w:t>
              <w:br/>
            </w: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Gateway Pro</w:t>
            </w:r>
          </w:p>
          <w:p>
            <w:pPr>
              <w:widowControl/>
              <w:spacing w:after="100" w:before="0" w:line="250" w:lineRule="auto"/>
            </w:pPr>
            <w:r>
              <w:rPr>
                <w:rFonts w:ascii="Calibri" w:hAnsi="Calibri"/>
                <w:b/>
                <w:i w:val="0"/>
                <w:color w:val="617381"/>
                <w:sz w:val="18"/>
              </w:rPr>
              <w:t>MFR# in supplied sheet</w:t>
              <w:br/>
            </w: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GW-400(PRO) [1]</w:t>
            </w:r>
          </w:p>
          <w:p>
            <w:pPr>
              <w:widowControl/>
              <w:spacing w:after="100" w:before="0" w:line="250" w:lineRule="auto"/>
            </w:pPr>
            <w:r>
              <w:rPr>
                <w:rFonts w:ascii="Calibri" w:hAnsi="Calibri"/>
                <w:b/>
                <w:i w:val="0"/>
                <w:color w:val="617381"/>
                <w:sz w:val="18"/>
              </w:rPr>
              <w:t>Source product name</w:t>
              <w:br/>
            </w:r>
            <w:r>
              <w:rPr>
                <w:rFonts w:ascii="Calibri" w:hAnsi="Calibri"/>
                <w:b w:val="0"/>
                <w:i w:val="0"/>
                <w:color w:val="263847"/>
                <w:sz w:val="20"/>
              </w:rPr>
              <w:t>Edge Gateway (AI Agent Embedded) [1]</w:t>
            </w:r>
          </w:p>
        </w:tc>
        <w:tc>
          <w:tcPr>
            <w:tcW w:type="dxa" w:w="4838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tcMar>
              <w:top w:w="120" w:type="dxa"/>
              <w:bottom w:w="115" w:type="dxa"/>
              <w:left w:w="150" w:type="dxa"/>
              <w:right w:w="150" w:type="dxa"/>
            </w:tcMar>
            <w:shd w:fill="EEF6F7"/>
          </w:tcPr>
          <w:p>
            <w:pPr>
              <w:widowControl/>
              <w:spacing w:after="140" w:before="0" w:line="259" w:lineRule="auto"/>
            </w:pPr>
            <w:r>
              <w:rPr>
                <w:rFonts w:ascii="Calibri" w:hAnsi="Calibri"/>
                <w:b/>
                <w:i w:val="0"/>
                <w:color w:val="007F86"/>
                <w:sz w:val="18"/>
              </w:rPr>
              <w:t>IN THE BOX</w:t>
            </w:r>
          </w:p>
          <w:p>
            <w:pPr>
              <w:widowControl/>
              <w:spacing w:after="12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iDma GW-400 Gateway</w:t>
            </w:r>
          </w:p>
          <w:p>
            <w:pPr>
              <w:widowControl/>
              <w:spacing w:after="12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Power adapter</w:t>
            </w:r>
          </w:p>
          <w:p>
            <w:pPr>
              <w:widowControl/>
              <w:spacing w:after="120" w:before="0" w:line="259" w:lineRule="auto"/>
            </w:pPr>
            <w:r>
              <w:rPr>
                <w:rFonts w:ascii="Calibri" w:hAnsi="Calibri"/>
                <w:b/>
                <w:i w:val="0"/>
                <w:color w:val="173047"/>
                <w:sz w:val="22"/>
              </w:rPr>
              <w:t>HDMI cable</w:t>
            </w:r>
          </w:p>
          <w:p>
            <w:pPr>
              <w:widowControl/>
              <w:spacing w:after="180" w:before="0" w:line="259" w:lineRule="auto"/>
            </w:pPr>
            <w:r>
              <w:rPr>
                <w:rFonts w:ascii="Calibri" w:hAnsi="Calibri"/>
                <w:b w:val="0"/>
                <w:i w:val="0"/>
                <w:color w:val="617381"/>
                <w:sz w:val="19"/>
              </w:rPr>
              <w:t>Included accessories follow the supplied GW-400 product sheet.</w:t>
            </w:r>
            <w:r>
              <w:rPr>
                <w:rFonts w:ascii="Calibri" w:hAnsi="Calibri"/>
                <w:b w:val="0"/>
                <w:i w:val="0"/>
                <w:color w:val="617381"/>
                <w:sz w:val="14"/>
                <w:vertAlign w:val="superscript"/>
              </w:rPr>
              <w:t xml:space="preserve"> [1]</w:t>
            </w:r>
          </w:p>
          <w:p>
            <w:pPr>
              <w:widowControl/>
              <w:spacing w:after="0" w:before="0" w:line="252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19"/>
              </w:rPr>
              <w:t>AI Boards, phones/tablets and room displays are not included. Cloud AI services are separate. A DisplayPort cable is not listed as an included accessory.</w:t>
            </w:r>
          </w:p>
        </w:tc>
      </w:tr>
    </w:tbl>
    <w:p>
      <w:pPr>
        <w:widowControl/>
        <w:spacing w:after="100" w:before="220" w:line="259" w:lineRule="auto"/>
      </w:pPr>
      <w:r>
        <w:rPr>
          <w:rFonts w:ascii="Calibri" w:hAnsi="Calibri"/>
          <w:b/>
          <w:i w:val="0"/>
          <w:color w:val="173047"/>
          <w:sz w:val="26"/>
        </w:rPr>
        <w:t>One-year limited warranty</w:t>
      </w:r>
    </w:p>
    <w:p>
      <w:pPr>
        <w:widowControl/>
        <w:spacing w:after="140" w:before="0" w:line="254" w:lineRule="auto"/>
      </w:pPr>
      <w:r>
        <w:rPr>
          <w:rFonts w:ascii="Calibri" w:hAnsi="Calibri"/>
          <w:b w:val="0"/>
          <w:i w:val="0"/>
          <w:color w:val="263847"/>
          <w:sz w:val="21"/>
        </w:rPr>
        <w:t>iDma provides a one-year limited hardware warranty from the date of purchase. A unit that develops a defect within the first year will be replaced at no charge under the limited warranty. After the first year, paid repair service or a trade-in credit toward a new unit is available.</w:t>
      </w:r>
      <w:r>
        <w:rPr>
          <w:rFonts w:ascii="Calibri" w:hAnsi="Calibri"/>
          <w:b w:val="0"/>
          <w:i w:val="0"/>
          <w:color w:val="617381"/>
          <w:sz w:val="14"/>
          <w:vertAlign w:val="superscript"/>
        </w:rPr>
        <w:t xml:space="preserve"> [1]</w:t>
      </w:r>
    </w:p>
    <w:p>
      <w:pPr>
        <w:widowControl/>
        <w:spacing w:after="100" w:before="60" w:line="259" w:lineRule="auto"/>
      </w:pPr>
      <w:r>
        <w:rPr>
          <w:rFonts w:ascii="Calibri" w:hAnsi="Calibri"/>
          <w:b/>
          <w:i w:val="0"/>
          <w:color w:val="173047"/>
          <w:sz w:val="26"/>
        </w:rPr>
        <w:t>Service scope &amp; setup requirements</w:t>
      </w:r>
    </w:p>
    <w:p>
      <w:pPr>
        <w:widowControl/>
        <w:spacing w:after="120" w:before="0" w:line="252" w:lineRule="auto"/>
      </w:pPr>
      <w:r>
        <w:rPr>
          <w:rFonts w:ascii="Calibri" w:hAnsi="Calibri"/>
          <w:b w:val="0"/>
          <w:i w:val="0"/>
          <w:color w:val="263847"/>
          <w:sz w:val="20"/>
        </w:rPr>
        <w:t>Use a compatible room display, network and participant devices. A suitable audio input is needed for speech-based cloud services. Gateway Pro is the hardware edition; AI Pro is a separate cloud service plan. Embedded AI-agent integration does not mean unlimited cloud AI is included or that cloud AI runs offline.</w:t>
      </w:r>
      <w:r>
        <w:rPr>
          <w:rFonts w:ascii="Calibri" w:hAnsi="Calibri"/>
          <w:b w:val="0"/>
          <w:i w:val="0"/>
          <w:color w:val="617381"/>
          <w:sz w:val="14"/>
          <w:vertAlign w:val="superscript"/>
        </w:rPr>
        <w:t xml:space="preserve"> [1, 2, 5]</w:t>
      </w:r>
    </w:p>
    <w:p>
      <w:pPr>
        <w:widowControl/>
        <w:spacing w:after="160" w:before="0" w:line="252" w:lineRule="auto"/>
      </w:pPr>
      <w:r>
        <w:rPr>
          <w:rFonts w:ascii="Calibri" w:hAnsi="Calibri"/>
          <w:b w:val="0"/>
          <w:i w:val="0"/>
          <w:color w:val="263847"/>
          <w:sz w:val="20"/>
        </w:rPr>
        <w:t>Bilingual captions are on-screen text, not synthesized spoken interpretation. AI voice interpretation is not included as a generally available production feature. Zoom/Tencent dual-screen bridging is assigned to Gateway Max on the current website and is not specified for this Pro brief.</w:t>
      </w:r>
      <w:r>
        <w:rPr>
          <w:rFonts w:ascii="Calibri" w:hAnsi="Calibri"/>
          <w:b w:val="0"/>
          <w:i w:val="0"/>
          <w:color w:val="617381"/>
          <w:sz w:val="14"/>
          <w:vertAlign w:val="superscript"/>
        </w:rPr>
        <w:t xml:space="preserve"> [2, 4, 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82"/>
      </w:tblGrid>
      <w:tr>
        <w:trPr>
          <w:cantSplit/>
        </w:trPr>
        <w:tc>
          <w:tcPr>
            <w:tcW w:type="dxa" w:w="10282"/>
            <w:vAlign w:val="top"/>
            <w:tcMar>
              <w:top w:w="100" w:type="dxa"/>
              <w:bottom w:w="100" w:type="dxa"/>
              <w:left w:w="140" w:type="dxa"/>
              <w:right w:w="140" w:type="dxa"/>
            </w:tcMar>
            <w:shd w:fill="FFF5E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widowControl/>
              <w:spacing w:after="100" w:before="0" w:line="259" w:lineRule="auto"/>
            </w:pPr>
            <w:r>
              <w:rPr>
                <w:rFonts w:ascii="Calibri" w:hAnsi="Calibri"/>
                <w:b/>
                <w:i w:val="0"/>
                <w:color w:val="885915"/>
                <w:sz w:val="18"/>
              </w:rPr>
              <w:t>BEFORE PUBLICATION: CONFIRM THE EXACT MFR#</w:t>
            </w:r>
          </w:p>
          <w:p>
            <w:pPr>
              <w:widowControl/>
              <w:spacing w:after="0" w:before="0" w:line="250" w:lineRule="auto"/>
            </w:pPr>
            <w:r>
              <w:rPr>
                <w:rFonts w:ascii="Calibri" w:hAnsi="Calibri"/>
                <w:b w:val="0"/>
                <w:i w:val="0"/>
                <w:color w:val="263847"/>
                <w:sz w:val="19"/>
              </w:rPr>
              <w:t>The supplied sheet states GW-400(PRO); the B&amp;H inquiry uses GW-400. The website’s Gateway Pro detail page currently carries a GW-210 heading. Confirm the final orderable manufacturer part number before publication. This brief preserves the supplied value rather than resolving that naming difference by assumption. [1, 6]</w:t>
            </w:r>
          </w:p>
        </w:tc>
      </w:tr>
    </w:tbl>
    <w:p>
      <w:pPr>
        <w:widowControl/>
        <w:spacing w:after="80" w:before="200" w:line="259" w:lineRule="auto"/>
      </w:pPr>
      <w:r>
        <w:rPr>
          <w:rFonts w:ascii="Calibri" w:hAnsi="Calibri"/>
          <w:b/>
          <w:i w:val="0"/>
          <w:color w:val="173047"/>
          <w:sz w:val="20"/>
        </w:rPr>
        <w:t>Source references</w:t>
      </w:r>
    </w:p>
    <w:p>
      <w:pPr>
        <w:widowControl/>
        <w:spacing w:after="80" w:before="0" w:line="240" w:lineRule="auto"/>
      </w:pPr>
      <w:r>
        <w:rPr>
          <w:rFonts w:ascii="Calibri" w:hAnsi="Calibri"/>
          <w:b w:val="0"/>
          <w:i w:val="0"/>
          <w:color w:val="617381"/>
          <w:sz w:val="16"/>
        </w:rPr>
        <w:t>Prepared from the manufacturer-supplied workbook and the official pages below. Web content checked in September 2026.</w:t>
      </w:r>
    </w:p>
    <w:p>
      <w:pPr>
        <w:widowControl/>
        <w:spacing w:after="60" w:before="0" w:line="240" w:lineRule="auto"/>
      </w:pPr>
      <w:r>
        <w:rPr>
          <w:rFonts w:ascii="Calibri" w:hAnsi="Calibri"/>
          <w:b w:val="0"/>
          <w:i w:val="0"/>
          <w:color w:val="617381"/>
          <w:sz w:val="16"/>
        </w:rPr>
        <w:t>[1] GW-400 Product Specs.xlsx, Sheet1, row 2 (identity, interfaces, capacity, accessories and warranty).</w:t>
      </w:r>
    </w:p>
    <w:p>
      <w:pPr>
        <w:widowControl/>
        <w:spacing w:after="60" w:before="0" w:line="240" w:lineRule="auto"/>
      </w:pPr>
      <w:hyperlink r:id="rId12">
        <w:r>
          <w:rPr>
            <w:color w:val="007F86"/>
            <w:sz w:val="16"/>
            <w:rFonts w:ascii="Calibri" w:hAnsi="Calibri"/>
          </w:rPr>
          <w:t>[2] Gateway family</w:t>
        </w:r>
      </w:hyperlink>
      <w:r>
        <w:rPr>
          <w:rFonts w:ascii="Calibri" w:hAnsi="Calibri"/>
          <w:b w:val="0"/>
          <w:i w:val="0"/>
          <w:color w:val="263847"/>
          <w:sz w:val="16"/>
        </w:rPr>
        <w:t xml:space="preserve">    </w:t>
      </w:r>
      <w:hyperlink r:id="rId13">
        <w:r>
          <w:rPr>
            <w:color w:val="007F86"/>
            <w:sz w:val="16"/>
            <w:rFonts w:ascii="Calibri" w:hAnsi="Calibri"/>
          </w:rPr>
          <w:t>[3] Meeting Annotation</w:t>
        </w:r>
      </w:hyperlink>
      <w:r>
        <w:rPr>
          <w:rFonts w:ascii="Calibri" w:hAnsi="Calibri"/>
          <w:b w:val="0"/>
          <w:i w:val="0"/>
          <w:color w:val="263847"/>
          <w:sz w:val="16"/>
        </w:rPr>
        <w:t xml:space="preserve">    </w:t>
      </w:r>
      <w:hyperlink r:id="rId14">
        <w:r>
          <w:rPr>
            <w:color w:val="007F86"/>
            <w:sz w:val="16"/>
            <w:rFonts w:ascii="Calibri" w:hAnsi="Calibri"/>
          </w:rPr>
          <w:t>[4] Live Language</w:t>
        </w:r>
      </w:hyperlink>
      <w:r>
        <w:rPr>
          <w:rFonts w:ascii="Calibri" w:hAnsi="Calibri"/>
          <w:b w:val="0"/>
          <w:i w:val="0"/>
          <w:color w:val="263847"/>
          <w:sz w:val="16"/>
        </w:rPr>
        <w:t xml:space="preserve">    </w:t>
      </w:r>
    </w:p>
    <w:p>
      <w:pPr>
        <w:widowControl/>
        <w:spacing w:after="60" w:before="0" w:line="240" w:lineRule="auto"/>
      </w:pPr>
      <w:hyperlink r:id="rId15">
        <w:r>
          <w:rPr>
            <w:color w:val="007F86"/>
            <w:sz w:val="16"/>
            <w:rFonts w:ascii="Calibri" w:hAnsi="Calibri"/>
          </w:rPr>
          <w:t>[5] Meeting AI</w:t>
        </w:r>
      </w:hyperlink>
      <w:r>
        <w:rPr>
          <w:rFonts w:ascii="Calibri" w:hAnsi="Calibri"/>
          <w:b w:val="0"/>
          <w:i w:val="0"/>
          <w:color w:val="263847"/>
          <w:sz w:val="16"/>
        </w:rPr>
        <w:t xml:space="preserve">    </w:t>
      </w:r>
      <w:hyperlink r:id="rId16">
        <w:r>
          <w:rPr>
            <w:color w:val="007F86"/>
            <w:sz w:val="16"/>
            <w:rFonts w:ascii="Calibri" w:hAnsi="Calibri"/>
          </w:rPr>
          <w:t>[6] Gateway Pro detail / naming cross-check</w:t>
        </w:r>
      </w:hyperlink>
      <w:r>
        <w:rPr>
          <w:rFonts w:ascii="Calibri" w:hAnsi="Calibri"/>
          <w:b w:val="0"/>
          <w:i w:val="0"/>
          <w:color w:val="263847"/>
          <w:sz w:val="16"/>
        </w:rPr>
        <w:t xml:space="preserve">    </w:t>
      </w:r>
    </w:p>
    <w:p>
      <w:pPr>
        <w:widowControl/>
        <w:spacing w:after="80" w:before="0" w:line="240" w:lineRule="auto"/>
      </w:pPr>
      <w:r>
        <w:rPr>
          <w:rFonts w:ascii="Calibri" w:hAnsi="Calibri"/>
          <w:b w:val="0"/>
          <w:i w:val="0"/>
          <w:color w:val="617381"/>
          <w:sz w:val="16"/>
        </w:rPr>
        <w:t>[7] iDma Gateway-Customer Edition-English USD.pptx: slide 4 (reference photo); slide 10 (PDF export workflow).</w:t>
      </w:r>
    </w:p>
    <w:p>
      <w:pPr>
        <w:widowControl/>
        <w:spacing w:after="0" w:before="60" w:line="240" w:lineRule="auto"/>
      </w:pPr>
      <w:r>
        <w:rPr>
          <w:rFonts w:ascii="Calibri" w:hAnsi="Calibri"/>
          <w:b/>
          <w:i w:val="0"/>
          <w:color w:val="173047"/>
          <w:sz w:val="18"/>
        </w:rPr>
        <w:t xml:space="preserve">iDma International Ltd.  |  </w:t>
      </w:r>
      <w:hyperlink r:id="rId12">
        <w:r>
          <w:rPr>
            <w:color w:val="007F86"/>
            <w:sz w:val="18"/>
            <w:rFonts w:ascii="Calibri" w:hAnsi="Calibri"/>
          </w:rPr>
          <w:t>Official product information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979" w:bottom="878" w:left="979" w:header="446" w:footer="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10282" w:val="right"/>
      </w:tabs>
      <w:spacing w:before="80" w:after="0"/>
    </w:pPr>
    <w:r>
      <w:rPr>
        <w:rFonts w:ascii="Calibri" w:hAnsi="Calibri"/>
        <w:b w:val="0"/>
        <w:i w:val="0"/>
        <w:color w:val="617381"/>
        <w:sz w:val="16"/>
      </w:rPr>
      <w:t>iDma International Ltd.  |  September 2026</w:t>
    </w:r>
    <w:r>
      <w:rPr>
        <w:rFonts w:ascii="Calibri" w:hAnsi="Calibri"/>
        <w:b w:val="0"/>
        <w:i w:val="0"/>
        <w:color w:val="263847"/>
        <w:sz w:val="16"/>
      </w:rPr>
      <w:tab/>
    </w:r>
    <w:fldSimple w:instr="PAGE"/>
    <w:r>
      <w:rPr>
        <w:rFonts w:ascii="Calibri" w:hAnsi="Calibri"/>
        <w:b w:val="0"/>
        <w:i w:val="0"/>
        <w:color w:val="617381"/>
        <w:sz w:val="16"/>
      </w:rPr>
      <w:t xml:space="preserve"> / 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82" w:val="right"/>
      </w:tabs>
      <w:spacing w:after="80"/>
      <w:pBdr>
        <w:bottom w:val="single" w:sz="9" w:color="007F86" w:space="4"/>
      </w:pBdr>
    </w:pPr>
    <w:r>
      <w:rPr>
        <w:rFonts w:ascii="Calibri" w:hAnsi="Calibri"/>
        <w:b/>
        <w:i w:val="0"/>
        <w:color w:val="173047"/>
        <w:sz w:val="40"/>
      </w:rPr>
      <w:t>iDma</w:t>
    </w:r>
    <w:r>
      <w:rPr>
        <w:rFonts w:ascii="Calibri" w:hAnsi="Calibri"/>
        <w:b/>
        <w:i w:val="0"/>
        <w:color w:val="617381"/>
        <w:sz w:val="16"/>
      </w:rPr>
      <w:tab/>
      <w:t>PRODUCT INFORMATION  /  EDITORIAL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63847"/>
      <w:sz w:val="21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173047"/>
      <w:sz w:val="46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73047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047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047"/>
      <w:spacing w:val="5"/>
      <w:kern w:val="28"/>
      <w:sz w:val="6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263847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263847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40"/>
    </w:pPr>
    <w:rPr>
      <w:rFonts w:ascii="Calibri" w:hAnsi="Calibri"/>
      <w:b/>
      <w:bCs/>
      <w:color w:val="617381"/>
      <w:sz w:val="16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idma.ai/en/products/idma-gateway" TargetMode="External"/><Relationship Id="rId13" Type="http://schemas.openxmlformats.org/officeDocument/2006/relationships/hyperlink" Target="https://www.idma.ai/en/meeting-annotation" TargetMode="External"/><Relationship Id="rId14" Type="http://schemas.openxmlformats.org/officeDocument/2006/relationships/hyperlink" Target="https://www.idma.ai/en/live-language" TargetMode="External"/><Relationship Id="rId15" Type="http://schemas.openxmlformats.org/officeDocument/2006/relationships/hyperlink" Target="https://www.idma.ai/en/meeting-ai" TargetMode="External"/><Relationship Id="rId16" Type="http://schemas.openxmlformats.org/officeDocument/2006/relationships/hyperlink" Target="https://www.idma.ai/en/products/gw-210?edition=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iDma GW-400 | Gateway Pro - Product Overview &amp; Features</dc:title>
  <dc:subject>English product information for B&amp;H editorial review</dc:subject>
  <dc:creator>iDma International Ltd.</dc:creator>
  <cp:keywords>GW-400, Gateway Pro, meeting collaboration, product overview</cp:keywords>
  <dc:description>Prepared from the supplied specification sheet and iDma product information. MFR naming needs confirmation before publication.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