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="0" w:afterLines="0" w:line="240" w:lineRule="auto"/>
        <w:jc w:val="center"/>
        <w:textAlignment w:val="auto"/>
      </w:pPr>
      <w:r>
        <w:rPr>
          <w:rFonts w:hint="eastAsia" w:ascii="黑体" w:hAnsi="黑体" w:eastAsia="黑体"/>
          <w:b/>
          <w:sz w:val="30"/>
          <w:szCs w:val="30"/>
        </w:rPr>
        <w:t>产品技术要求生产转换报告</w:t>
      </w:r>
    </w:p>
    <w:tbl>
      <w:tblPr>
        <w:tblStyle w:val="19"/>
        <w:tblW w:w="10180" w:type="dxa"/>
        <w:tblInd w:w="-8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6"/>
        <w:gridCol w:w="8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产品名称</w:t>
            </w:r>
          </w:p>
        </w:tc>
        <w:tc>
          <w:tcPr>
            <w:tcW w:w="85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 w:val="0"/>
              <w:spacing w:beforeLines="0" w:after="0" w:afterLines="0" w:line="360" w:lineRule="auto"/>
              <w:jc w:val="center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妇产超声影像工作站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型号规格</w:t>
            </w:r>
          </w:p>
        </w:tc>
        <w:tc>
          <w:tcPr>
            <w:tcW w:w="85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 w:val="0"/>
              <w:spacing w:beforeLines="0" w:after="0" w:afterLines="0" w:line="360" w:lineRule="auto"/>
              <w:jc w:val="center"/>
              <w:textAlignment w:val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转换目的</w:t>
            </w:r>
          </w:p>
        </w:tc>
        <w:tc>
          <w:tcPr>
            <w:tcW w:w="859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/>
              <w:autoSpaceDE/>
              <w:autoSpaceDN/>
              <w:bidi w:val="0"/>
              <w:adjustRightInd w:val="0"/>
              <w:snapToGrid w:val="0"/>
              <w:spacing w:beforeLines="0" w:after="0" w:afterLines="0" w:line="360" w:lineRule="auto"/>
              <w:jc w:val="center"/>
              <w:textAlignment w:val="auto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将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妇产超声影像工作站</w:t>
            </w:r>
            <w:r>
              <w:rPr>
                <w:rFonts w:hint="eastAsia" w:ascii="宋体" w:hAnsi="宋体"/>
                <w:sz w:val="21"/>
                <w:szCs w:val="21"/>
              </w:rPr>
              <w:t>的</w:t>
            </w:r>
            <w:r>
              <w:rPr>
                <w:rFonts w:ascii="宋体" w:hAnsi="宋体"/>
                <w:sz w:val="21"/>
                <w:szCs w:val="21"/>
              </w:rPr>
              <w:t>每一技术要求</w:t>
            </w:r>
            <w:r>
              <w:rPr>
                <w:rFonts w:hint="eastAsia" w:ascii="宋体" w:hAnsi="宋体"/>
                <w:sz w:val="21"/>
                <w:szCs w:val="21"/>
              </w:rPr>
              <w:t>正确</w:t>
            </w:r>
            <w:r>
              <w:rPr>
                <w:rFonts w:ascii="宋体" w:hAnsi="宋体"/>
                <w:sz w:val="21"/>
                <w:szCs w:val="21"/>
              </w:rPr>
              <w:t>转化成与</w:t>
            </w:r>
            <w:r>
              <w:rPr>
                <w:rFonts w:hint="eastAsia" w:ascii="宋体" w:hAnsi="宋体"/>
                <w:sz w:val="21"/>
                <w:szCs w:val="21"/>
              </w:rPr>
              <w:t>产品</w:t>
            </w:r>
            <w:r>
              <w:rPr>
                <w:rFonts w:ascii="宋体" w:hAnsi="宋体"/>
                <w:sz w:val="21"/>
                <w:szCs w:val="21"/>
              </w:rPr>
              <w:t>实现相关的具体过程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6" w:hRule="atLeast"/>
        </w:trPr>
        <w:tc>
          <w:tcPr>
            <w:tcW w:w="10180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textAlignment w:val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转换方式</w:t>
            </w:r>
          </w:p>
          <w:tbl>
            <w:tblPr>
              <w:tblStyle w:val="20"/>
              <w:tblW w:w="98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6"/>
              <w:gridCol w:w="6717"/>
              <w:gridCol w:w="16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center"/>
                    <w:textAlignment w:val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</w:t>
                  </w:r>
                </w:p>
              </w:tc>
              <w:tc>
                <w:tcPr>
                  <w:tcW w:w="6717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center"/>
                    <w:textAlignment w:val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技术要求</w:t>
                  </w:r>
                </w:p>
              </w:tc>
              <w:tc>
                <w:tcPr>
                  <w:tcW w:w="1617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center"/>
                    <w:textAlignment w:val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转换措施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</w:trPr>
              <w:tc>
                <w:tcPr>
                  <w:tcW w:w="1476" w:type="dxa"/>
                  <w:vAlign w:val="center"/>
                </w:tcPr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 w:eastAsia="PMingLiU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  <w:t>1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外观与结构</w:t>
                  </w: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  <w:t>1）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工作站各连接处的连接应牢固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；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2）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工作站的文字和标志应清晰、准确、牢固；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3）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工作站的外形应端正、色泽应均匀，不得有毛刺及锋棱；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4）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工作站的各控制件操作应灵活可靠，紧固件应无松动；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 w:eastAsia="PMingLiU"/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5）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台车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和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支架应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具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</w:rPr>
                    <w:t>有具有制动功能的装置；</w:t>
                  </w:r>
                  <w:bookmarkStart w:id="0" w:name="bookmark30"/>
                  <w:bookmarkEnd w:id="0"/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来料检验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</w:pPr>
                  <w:r>
                    <w:rPr>
                      <w:rFonts w:hint="eastAsia"/>
                    </w:rPr>
                    <w:t>生产操作规程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</w:pPr>
                  <w:r>
                    <w:rPr>
                      <w:rFonts w:hint="eastAsia"/>
                    </w:rPr>
                    <w:t>生产过程检验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/>
                    </w:rPr>
                    <w:t>成品检验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</w:trPr>
              <w:tc>
                <w:tcPr>
                  <w:tcW w:w="1476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1"/>
                      <w:szCs w:val="21"/>
                      <w:lang w:val="en-US" w:eastAsia="zh-CN" w:bidi="ar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sz w:val="21"/>
                      <w:szCs w:val="21"/>
                      <w:lang w:val="en-US" w:eastAsia="zh-CN" w:bidi="ar"/>
                    </w:rPr>
                    <w:t xml:space="preserve">2. 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1"/>
                      <w:szCs w:val="21"/>
                      <w:lang w:val="en-US" w:eastAsia="zh-CN" w:bidi="ar"/>
                    </w:rPr>
                    <w:t>产品的硬件</w:t>
                  </w: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sz w:val="21"/>
                      <w:szCs w:val="21"/>
                      <w:lang w:val="en-US" w:eastAsia="zh-CN" w:bidi="ar"/>
                    </w:rPr>
                    <w:t>及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color w:val="auto"/>
                      <w:sz w:val="21"/>
                      <w:szCs w:val="21"/>
                      <w:lang w:val="en-US" w:eastAsia="zh-CN" w:bidi="ar"/>
                    </w:rPr>
                    <w:t>部件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  <w:lang w:val="en-US" w:eastAsia="zh-CN" w:bidi="en-US"/>
                    </w:rPr>
                  </w:pP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auto"/>
                      <w:sz w:val="21"/>
                      <w:szCs w:val="21"/>
                      <w:lang w:val="en-US" w:eastAsia="zh-CN" w:bidi="ar"/>
                    </w:rPr>
                    <w:t>本产品所配备的硬件和相关部件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lang w:val="en-US" w:eastAsia="zh-CN" w:bidi="ar"/>
                    </w:rPr>
                    <w:t>应不低于以下要求：</w:t>
                  </w:r>
                </w:p>
                <w:tbl>
                  <w:tblPr>
                    <w:tblStyle w:val="20"/>
                    <w:tblW w:w="557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656"/>
                    <w:gridCol w:w="391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硬件名称</w:t>
                        </w:r>
                      </w:p>
                    </w:tc>
                    <w:tc>
                      <w:tcPr>
                        <w:tcW w:w="3915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配置要求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CPU</w:t>
                        </w:r>
                      </w:p>
                    </w:tc>
                    <w:tc>
                      <w:tcPr>
                        <w:tcW w:w="3915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Intel® CoreTM i7-9700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GPU</w:t>
                        </w:r>
                      </w:p>
                    </w:tc>
                    <w:tc>
                      <w:tcPr>
                        <w:tcW w:w="3915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GeForce RTX 2070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运行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内存</w:t>
                        </w:r>
                      </w:p>
                    </w:tc>
                    <w:tc>
                      <w:tcPr>
                        <w:tcW w:w="3915" w:type="dxa"/>
                        <w:vAlign w:val="top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</w:rPr>
                          <w:t>16G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存储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硬盘</w:t>
                        </w:r>
                      </w:p>
                    </w:tc>
                    <w:tc>
                      <w:tcPr>
                        <w:tcW w:w="3915" w:type="dxa"/>
                        <w:vAlign w:val="top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2T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显示器</w:t>
                        </w:r>
                      </w:p>
                    </w:tc>
                    <w:tc>
                      <w:tcPr>
                        <w:tcW w:w="3915" w:type="dxa"/>
                        <w:vAlign w:val="top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触摸屏，分辨率</w:t>
                        </w:r>
                        <w:r>
                          <w:rPr>
                            <w:rFonts w:hint="eastAsia" w:ascii="宋体" w:hAnsi="宋体" w:eastAsia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1920*1080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eastAsia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打印机</w:t>
                        </w:r>
                      </w:p>
                    </w:tc>
                    <w:tc>
                      <w:tcPr>
                        <w:tcW w:w="3915" w:type="dxa"/>
                        <w:vAlign w:val="top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A4彩色打印机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656" w:type="dxa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台车</w:t>
                        </w:r>
                      </w:p>
                    </w:tc>
                    <w:tc>
                      <w:tcPr>
                        <w:tcW w:w="3915" w:type="dxa"/>
                        <w:vAlign w:val="top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beforeLines="0" w:after="0" w:afterLines="0" w:line="240" w:lineRule="auto"/>
                          <w:jc w:val="center"/>
                          <w:textAlignment w:val="auto"/>
                          <w:rPr>
                            <w:rFonts w:hint="default" w:ascii="宋体" w:hAnsi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auto"/>
                            <w:kern w:val="0"/>
                            <w:sz w:val="18"/>
                            <w:szCs w:val="18"/>
                            <w:highlight w:val="none"/>
                            <w:lang w:val="en-US" w:eastAsia="zh-CN"/>
                          </w:rPr>
                          <w:t>可升降带脚轮及制动装置</w:t>
                        </w:r>
                      </w:p>
                    </w:tc>
                  </w:tr>
                </w:tbl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eastAsiaTheme="minorEastAsia"/>
                    </w:rPr>
                  </w:pPr>
                  <w:r>
                    <w:rPr>
                      <w:rFonts w:hint="eastAsia"/>
                    </w:rPr>
                    <w:t>来料检验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</w:pPr>
                  <w:r>
                    <w:rPr>
                      <w:rFonts w:hint="eastAsia"/>
                    </w:rPr>
                    <w:t>生产操作规程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</w:pPr>
                  <w:r>
                    <w:rPr>
                      <w:rFonts w:hint="eastAsia"/>
                    </w:rPr>
                    <w:t>生产过程检验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成品检验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  <w:vAlign w:val="center"/>
                </w:tcPr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337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textAlignment w:val="auto"/>
                    <w:rPr>
                      <w:rFonts w:hint="default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color w:val="000000"/>
                      <w:sz w:val="21"/>
                      <w:szCs w:val="21"/>
                      <w:lang w:val="en-US" w:eastAsia="zh-CN"/>
                    </w:rPr>
                    <w:t>2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软件功能组件</w:t>
                  </w: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bookmarkStart w:id="1" w:name="bookmark37"/>
                  <w:bookmarkEnd w:id="1"/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1）显示：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可对实时传输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或存储在本地的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超声影像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进行播放显示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2）回放：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可</w:t>
                  </w: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对已检查完毕的超声影像视频进行</w:t>
                  </w:r>
                  <w:r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  <w:t>回放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3）存储：具备对超声设备输入的实时超声视频影像进行本地存储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4）浏览：具备对已完成检查的历史超声影像视频进行回放和本地存储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5）截图：可通过双击屏幕或截图按钮对超声图像截图</w:t>
                  </w:r>
                  <w:bookmarkStart w:id="2" w:name="_GoBack"/>
                  <w:bookmarkEnd w:id="2"/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并在本地保存。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6）报告功能：可新建、编辑、保存打印报告，并可在报告插入超声图像。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rFonts w:hint="default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7）提示功能：对于检查中发现的影像异常可进行声音和颜色提示</w:t>
                  </w:r>
                </w:p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tabs>
                      <w:tab w:val="left" w:pos="771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color w:val="000000"/>
                      <w:sz w:val="21"/>
                      <w:szCs w:val="21"/>
                      <w:lang w:val="en-US" w:eastAsia="zh-CN" w:bidi="en-US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val="en-US" w:eastAsia="zh-CN"/>
                    </w:rPr>
                    <w:t>8）知识图谱功能：可进行病症信息检索、病症诊断引导，对比鉴别。</w:t>
                  </w:r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hint="eastAsia" w:eastAsiaTheme="minor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生产过程检验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老化试验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textAlignment w:val="auto"/>
                    <w:rPr>
                      <w:rFonts w:ascii="宋体" w:hAnsi="宋体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成品检验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8" w:hRule="atLeast"/>
              </w:trPr>
              <w:tc>
                <w:tcPr>
                  <w:tcW w:w="1476" w:type="dxa"/>
                  <w:vAlign w:val="center"/>
                </w:tcPr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beforeAutospacing="0" w:after="0" w:afterLines="0" w:afterAutospacing="0" w:line="240" w:lineRule="auto"/>
                    <w:ind w:leftChars="0"/>
                    <w:jc w:val="left"/>
                    <w:textAlignment w:val="auto"/>
                    <w:rPr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</w:rPr>
                    <w:t xml:space="preserve"> 电磁兼容要求 </w:t>
                  </w: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pStyle w:val="51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/>
                    <w:jc w:val="left"/>
                    <w:textAlignment w:val="auto"/>
                    <w:rPr>
                      <w:color w:val="000000"/>
                      <w:sz w:val="21"/>
                      <w:szCs w:val="21"/>
                      <w:lang w:val="en-US" w:eastAsia="zh-CN" w:bidi="en-US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bidi="ar"/>
                    </w:rPr>
                    <w:t xml:space="preserve">符合 YY 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</w:rPr>
                    <w:t>0505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bidi="ar"/>
                    </w:rPr>
                    <w:t>-2012《医用电气设备 第 1-2 部分：安全通用要求并列标准：电磁兼容要求和试验》的规定。</w:t>
                  </w:r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left"/>
                    <w:textAlignment w:val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成品检验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left"/>
                    <w:textAlignment w:val="auto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型式检验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  <w:vAlign w:val="center"/>
                </w:tcPr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beforeAutospacing="0" w:after="0" w:afterLines="0" w:afterAutospacing="0" w:line="240" w:lineRule="auto"/>
                    <w:ind w:leftChars="0"/>
                    <w:jc w:val="left"/>
                    <w:textAlignment w:val="auto"/>
                    <w:rPr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</w:rPr>
                    <w:t xml:space="preserve"> 电气安全要求 </w:t>
                  </w: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 w:firstLineChars="0"/>
                    <w:jc w:val="left"/>
                    <w:textAlignment w:val="auto"/>
                    <w:rPr>
                      <w:color w:val="000000"/>
                      <w:sz w:val="21"/>
                      <w:szCs w:val="21"/>
                      <w:lang w:val="en-US" w:eastAsia="zh-CN" w:bidi="en-US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bidi="ar"/>
                    </w:rPr>
                    <w:t xml:space="preserve">符合 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</w:rPr>
                    <w:t xml:space="preserve">GB 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lang w:bidi="ar"/>
                    </w:rPr>
                    <w:t xml:space="preserve">9706.1-2007《医用电气设备第 1 部分：安全通用要求》的规定。 </w:t>
                  </w:r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left"/>
                    <w:textAlignment w:val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成品检验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left"/>
                    <w:textAlignment w:val="auto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型式检验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6" w:type="dxa"/>
                  <w:vAlign w:val="center"/>
                </w:tcPr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numPr>
                      <w:ilvl w:val="1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beforeAutospacing="0" w:after="0" w:afterLines="0" w:afterAutospacing="0" w:line="240" w:lineRule="auto"/>
                    <w:ind w:leftChars="0"/>
                    <w:jc w:val="left"/>
                    <w:textAlignment w:val="auto"/>
                    <w:rPr>
                      <w:rFonts w:hint="eastAsia" w:eastAsia="PMingLiU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color w:val="auto"/>
                      <w:sz w:val="21"/>
                      <w:szCs w:val="21"/>
                    </w:rPr>
                    <w:t xml:space="preserve"> 环境试验 </w:t>
                  </w:r>
                </w:p>
              </w:tc>
              <w:tc>
                <w:tcPr>
                  <w:tcW w:w="67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ind w:firstLine="0" w:firstLineChars="0"/>
                    <w:jc w:val="left"/>
                    <w:textAlignment w:val="auto"/>
                    <w:rPr>
                      <w:rFonts w:hint="eastAsia" w:eastAsia="PMingLiU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 w:val="0"/>
                      <w:bCs w:val="0"/>
                      <w:color w:val="auto"/>
                      <w:kern w:val="0"/>
                      <w:sz w:val="21"/>
                      <w:szCs w:val="21"/>
                    </w:rPr>
                    <w:t>环境试验符合 GB/T 14710-2009《医用电器环境要求及试验方法》中的气候环境试验Ⅱ组及表 1 的规定。</w:t>
                  </w:r>
                </w:p>
              </w:tc>
              <w:tc>
                <w:tcPr>
                  <w:tcW w:w="1617" w:type="dxa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beforeLines="0" w:after="0" w:afterLines="0" w:line="240" w:lineRule="auto"/>
                    <w:jc w:val="left"/>
                    <w:textAlignment w:val="auto"/>
                    <w:rPr>
                      <w:rFonts w:hint="eastAsia" w:ascii="宋体" w:hAnsi="宋体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型式检验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textAlignment w:val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6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both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转换结论</w:t>
            </w:r>
          </w:p>
        </w:tc>
        <w:tc>
          <w:tcPr>
            <w:tcW w:w="85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textAlignment w:val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将每一</w:t>
            </w:r>
            <w:r>
              <w:rPr>
                <w:rFonts w:hint="eastAsia" w:ascii="宋体" w:hAnsi="宋体"/>
                <w:sz w:val="21"/>
                <w:szCs w:val="21"/>
              </w:rPr>
              <w:t>技术</w:t>
            </w:r>
            <w:r>
              <w:rPr>
                <w:rFonts w:ascii="宋体" w:hAnsi="宋体"/>
                <w:sz w:val="21"/>
                <w:szCs w:val="21"/>
              </w:rPr>
              <w:t>要求</w:t>
            </w:r>
            <w:r>
              <w:rPr>
                <w:rFonts w:hint="eastAsia" w:ascii="宋体" w:hAnsi="宋体"/>
                <w:sz w:val="21"/>
                <w:szCs w:val="21"/>
              </w:rPr>
              <w:t>分别转换为硬件</w:t>
            </w:r>
            <w:r>
              <w:rPr>
                <w:rFonts w:ascii="宋体" w:hAnsi="宋体"/>
                <w:sz w:val="21"/>
                <w:szCs w:val="21"/>
              </w:rPr>
              <w:t>设计、软件设计、</w:t>
            </w:r>
            <w:r>
              <w:rPr>
                <w:rFonts w:hint="eastAsia" w:ascii="宋体" w:hAnsi="宋体"/>
                <w:sz w:val="21"/>
                <w:szCs w:val="21"/>
              </w:rPr>
              <w:t>结构</w:t>
            </w:r>
            <w:r>
              <w:rPr>
                <w:rFonts w:ascii="宋体" w:hAnsi="宋体"/>
                <w:sz w:val="21"/>
                <w:szCs w:val="21"/>
              </w:rPr>
              <w:t>设计、生产、检验</w:t>
            </w:r>
            <w:r>
              <w:rPr>
                <w:rFonts w:hint="eastAsia" w:ascii="宋体" w:hAnsi="宋体"/>
                <w:sz w:val="21"/>
                <w:szCs w:val="21"/>
              </w:rPr>
              <w:t>和</w:t>
            </w:r>
            <w:r>
              <w:rPr>
                <w:rFonts w:ascii="宋体" w:hAnsi="宋体"/>
                <w:sz w:val="21"/>
                <w:szCs w:val="21"/>
              </w:rPr>
              <w:t>定期验证等相关过程</w:t>
            </w:r>
            <w:r>
              <w:rPr>
                <w:rFonts w:hint="eastAsia" w:ascii="宋体" w:hAnsi="宋体"/>
                <w:sz w:val="21"/>
                <w:szCs w:val="21"/>
              </w:rPr>
              <w:t>，清晰，明了，具可行性和</w:t>
            </w:r>
            <w:r>
              <w:rPr>
                <w:rFonts w:ascii="宋体" w:hAnsi="宋体"/>
                <w:sz w:val="21"/>
                <w:szCs w:val="21"/>
              </w:rPr>
              <w:t>可操作性</w:t>
            </w:r>
            <w:r>
              <w:rPr>
                <w:rFonts w:hint="eastAsia" w:ascii="宋体" w:hAnsi="宋体"/>
                <w:sz w:val="21"/>
                <w:szCs w:val="21"/>
              </w:rPr>
              <w:t>，转换通过，进入下一步环节。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研发部意见</w:t>
            </w:r>
          </w:p>
        </w:tc>
        <w:tc>
          <w:tcPr>
            <w:tcW w:w="85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textAlignment w:val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both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cs="宋体"/>
                <w:sz w:val="21"/>
                <w:szCs w:val="21"/>
              </w:rPr>
              <w:t>研发项目负责人（签名）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cs="宋体"/>
                <w:sz w:val="21"/>
                <w:szCs w:val="21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6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质量部意见</w:t>
            </w:r>
          </w:p>
        </w:tc>
        <w:tc>
          <w:tcPr>
            <w:tcW w:w="85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        </w:t>
            </w:r>
            <w:r>
              <w:rPr>
                <w:rFonts w:hint="eastAsia" w:ascii="宋体" w:hAnsi="宋体" w:cs="宋体"/>
                <w:sz w:val="21"/>
                <w:szCs w:val="21"/>
              </w:rPr>
              <w:t>质量部负责人(签字)</w:t>
            </w:r>
            <w:r>
              <w:rPr>
                <w:rFonts w:ascii="宋体" w:hAnsi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cs="宋体"/>
                <w:sz w:val="21"/>
                <w:szCs w:val="21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60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总经理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意见</w:t>
            </w:r>
          </w:p>
        </w:tc>
        <w:tc>
          <w:tcPr>
            <w:tcW w:w="85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="0" w:afterLines="0" w:line="240" w:lineRule="auto"/>
              <w:jc w:val="center"/>
              <w:textAlignment w:val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</w:rPr>
              <w:t>总经理（签名）/日期：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73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0" w:lineRule="exact"/>
        <w:jc w:val="left"/>
        <w:textAlignment w:val="auto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1134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60" w:after="60"/>
      <w:jc w:val="both"/>
    </w:pPr>
  </w:p>
  <w:p>
    <w:pPr>
      <w:pStyle w:val="14"/>
      <w:spacing w:beforeLines="0" w:afterLines="0" w:line="240" w:lineRule="auto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60" w:after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60" w:after="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  <w:ind w:firstLine="1820" w:firstLineChars="1400"/>
      <w:jc w:val="left"/>
      <w:rPr>
        <w:sz w:val="13"/>
        <w:szCs w:val="13"/>
      </w:rPr>
    </w:pPr>
    <w:r>
      <w:rPr>
        <w:rFonts w:hint="eastAsia"/>
        <w:sz w:val="13"/>
        <w:szCs w:val="13"/>
      </w:rPr>
      <w:t>长沙爱孕记医疗科技有限公司</w:t>
    </w:r>
  </w:p>
  <w:p>
    <w:pPr>
      <w:spacing w:before="60" w:after="60"/>
      <w:rPr>
        <w:sz w:val="13"/>
        <w:szCs w:val="13"/>
      </w:rPr>
    </w:pPr>
    <w:r>
      <w:rPr>
        <w:rFonts w:hint="eastAsia"/>
      </w:rPr>
      <w:t xml:space="preserve">     </w:t>
    </w:r>
    <w:r>
      <w:t xml:space="preserve">                                                  </w:t>
    </w:r>
    <w:r>
      <w:rPr>
        <w:rFonts w:hint="eastAsia"/>
      </w:rPr>
      <w:t xml:space="preserve">  </w:t>
    </w:r>
    <w:r>
      <w:t xml:space="preserve">                                  </w:t>
    </w:r>
    <w:r>
      <w:rPr>
        <w:sz w:val="13"/>
        <w:szCs w:val="13"/>
      </w:rPr>
      <w:t xml:space="preserve">  </w:t>
    </w:r>
    <w:r>
      <w:rPr>
        <w:rFonts w:hint="eastAsia" w:hAnsi="宋体"/>
        <w:sz w:val="13"/>
        <w:szCs w:val="13"/>
      </w:rPr>
      <w:t>文件</w:t>
    </w:r>
    <w:r>
      <w:rPr>
        <w:rFonts w:hAnsi="宋体"/>
        <w:sz w:val="13"/>
        <w:szCs w:val="13"/>
      </w:rPr>
      <w:t>编号：</w:t>
    </w:r>
    <w:r>
      <w:rPr>
        <w:rFonts w:hint="eastAsia" w:hAnsi="宋体"/>
        <w:sz w:val="13"/>
        <w:szCs w:val="13"/>
        <w:lang w:val="en-US" w:eastAsia="zh-CN"/>
      </w:rPr>
      <w:t>AYJ</w:t>
    </w:r>
    <w:r>
      <w:rPr>
        <w:sz w:val="13"/>
        <w:szCs w:val="13"/>
      </w:rPr>
      <w:t>-QR-10-</w:t>
    </w:r>
    <w:r>
      <w:rPr>
        <w:rFonts w:hint="eastAsia"/>
        <w:sz w:val="13"/>
        <w:szCs w:val="13"/>
        <w:lang w:val="en-US" w:eastAsia="zh-CN"/>
      </w:rPr>
      <w:t>28</w:t>
    </w:r>
    <w:r>
      <w:rPr>
        <w:sz w:val="13"/>
        <w:szCs w:val="13"/>
      </w:rPr>
      <w:t xml:space="preserve">  </w:t>
    </w:r>
    <w:r>
      <w:rPr>
        <w:rFonts w:hAnsi="宋体"/>
        <w:sz w:val="13"/>
        <w:szCs w:val="13"/>
      </w:rPr>
      <w:t>版</w:t>
    </w:r>
    <w:r>
      <w:rPr>
        <w:rFonts w:hint="eastAsia" w:hAnsi="宋体"/>
        <w:sz w:val="13"/>
        <w:szCs w:val="13"/>
      </w:rPr>
      <w:t>本：A/</w:t>
    </w:r>
    <w:r>
      <w:rPr>
        <w:rFonts w:hAnsi="宋体"/>
        <w:sz w:val="13"/>
        <w:szCs w:val="13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60" w:after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04B12"/>
    <w:multiLevelType w:val="multilevel"/>
    <w:tmpl w:val="30804B12"/>
    <w:lvl w:ilvl="0" w:tentative="0">
      <w:start w:val="1"/>
      <w:numFmt w:val="bullet"/>
      <w:pStyle w:val="16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C1723A"/>
    <w:multiLevelType w:val="multilevel"/>
    <w:tmpl w:val="40C1723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  <w:b/>
        <w:i w:val="0"/>
        <w:sz w:val="21"/>
        <w:szCs w:val="21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4Nzk3MzJkZmI3NmFiNzI1M2JjMTQ4ZTUwN2MwOTkifQ=="/>
  </w:docVars>
  <w:rsids>
    <w:rsidRoot w:val="003018CB"/>
    <w:rsid w:val="00014E4C"/>
    <w:rsid w:val="00017056"/>
    <w:rsid w:val="000172A5"/>
    <w:rsid w:val="00023F33"/>
    <w:rsid w:val="0002764A"/>
    <w:rsid w:val="00035911"/>
    <w:rsid w:val="0004130E"/>
    <w:rsid w:val="000520CD"/>
    <w:rsid w:val="00052BB5"/>
    <w:rsid w:val="00060A31"/>
    <w:rsid w:val="00070936"/>
    <w:rsid w:val="000A03CF"/>
    <w:rsid w:val="000A4904"/>
    <w:rsid w:val="000B4589"/>
    <w:rsid w:val="000B4D76"/>
    <w:rsid w:val="000D73A8"/>
    <w:rsid w:val="000E13E3"/>
    <w:rsid w:val="000E212D"/>
    <w:rsid w:val="000E2546"/>
    <w:rsid w:val="000F4F98"/>
    <w:rsid w:val="001010C5"/>
    <w:rsid w:val="00133872"/>
    <w:rsid w:val="00134ED3"/>
    <w:rsid w:val="00135DB3"/>
    <w:rsid w:val="0016699F"/>
    <w:rsid w:val="001914B7"/>
    <w:rsid w:val="001A39E5"/>
    <w:rsid w:val="001C248D"/>
    <w:rsid w:val="001D0319"/>
    <w:rsid w:val="001E3F6E"/>
    <w:rsid w:val="001E490E"/>
    <w:rsid w:val="001E5DB0"/>
    <w:rsid w:val="001E6A50"/>
    <w:rsid w:val="001F743A"/>
    <w:rsid w:val="001F74AE"/>
    <w:rsid w:val="002114DE"/>
    <w:rsid w:val="002144A6"/>
    <w:rsid w:val="00231D9B"/>
    <w:rsid w:val="0024440D"/>
    <w:rsid w:val="00267CA7"/>
    <w:rsid w:val="002979D0"/>
    <w:rsid w:val="002A469A"/>
    <w:rsid w:val="002C3217"/>
    <w:rsid w:val="00300A67"/>
    <w:rsid w:val="003018CB"/>
    <w:rsid w:val="003200A1"/>
    <w:rsid w:val="00336C04"/>
    <w:rsid w:val="003428D6"/>
    <w:rsid w:val="003449B2"/>
    <w:rsid w:val="00344FA2"/>
    <w:rsid w:val="0034728B"/>
    <w:rsid w:val="00360962"/>
    <w:rsid w:val="003642A5"/>
    <w:rsid w:val="00385867"/>
    <w:rsid w:val="003971D7"/>
    <w:rsid w:val="003A2C2D"/>
    <w:rsid w:val="003B63EA"/>
    <w:rsid w:val="003B79AD"/>
    <w:rsid w:val="003C6E6A"/>
    <w:rsid w:val="003E647E"/>
    <w:rsid w:val="003F16C1"/>
    <w:rsid w:val="003F287E"/>
    <w:rsid w:val="0042029D"/>
    <w:rsid w:val="00435330"/>
    <w:rsid w:val="00435413"/>
    <w:rsid w:val="004449D5"/>
    <w:rsid w:val="00447733"/>
    <w:rsid w:val="0045063A"/>
    <w:rsid w:val="004537A3"/>
    <w:rsid w:val="00473AD3"/>
    <w:rsid w:val="004A548B"/>
    <w:rsid w:val="004B1F16"/>
    <w:rsid w:val="004C7271"/>
    <w:rsid w:val="004D4743"/>
    <w:rsid w:val="004D63E6"/>
    <w:rsid w:val="004F4E6A"/>
    <w:rsid w:val="005058FF"/>
    <w:rsid w:val="00513EDA"/>
    <w:rsid w:val="00516321"/>
    <w:rsid w:val="00517BAA"/>
    <w:rsid w:val="0054079D"/>
    <w:rsid w:val="00541A60"/>
    <w:rsid w:val="00543AEC"/>
    <w:rsid w:val="0054768B"/>
    <w:rsid w:val="005731E9"/>
    <w:rsid w:val="005835C0"/>
    <w:rsid w:val="00583DCD"/>
    <w:rsid w:val="005C386A"/>
    <w:rsid w:val="005C5790"/>
    <w:rsid w:val="005C6674"/>
    <w:rsid w:val="005E2C61"/>
    <w:rsid w:val="006404E5"/>
    <w:rsid w:val="0064171A"/>
    <w:rsid w:val="00657D73"/>
    <w:rsid w:val="0066796B"/>
    <w:rsid w:val="006B71C4"/>
    <w:rsid w:val="006C67D4"/>
    <w:rsid w:val="006C6F45"/>
    <w:rsid w:val="006D2BE0"/>
    <w:rsid w:val="006E02BD"/>
    <w:rsid w:val="00720FB3"/>
    <w:rsid w:val="00725C9D"/>
    <w:rsid w:val="007435C9"/>
    <w:rsid w:val="00744D29"/>
    <w:rsid w:val="007452D7"/>
    <w:rsid w:val="00766D40"/>
    <w:rsid w:val="00782727"/>
    <w:rsid w:val="007852B9"/>
    <w:rsid w:val="007958F9"/>
    <w:rsid w:val="0079777C"/>
    <w:rsid w:val="007A6742"/>
    <w:rsid w:val="007A7DBC"/>
    <w:rsid w:val="007B0301"/>
    <w:rsid w:val="007C16B1"/>
    <w:rsid w:val="007D7FF6"/>
    <w:rsid w:val="008126FA"/>
    <w:rsid w:val="00815C5A"/>
    <w:rsid w:val="00827EE4"/>
    <w:rsid w:val="00835C55"/>
    <w:rsid w:val="00837421"/>
    <w:rsid w:val="00843142"/>
    <w:rsid w:val="00866209"/>
    <w:rsid w:val="00877D1D"/>
    <w:rsid w:val="00890569"/>
    <w:rsid w:val="008969AF"/>
    <w:rsid w:val="008A2DBD"/>
    <w:rsid w:val="008B1DCA"/>
    <w:rsid w:val="008D3317"/>
    <w:rsid w:val="008D3FA0"/>
    <w:rsid w:val="008D4634"/>
    <w:rsid w:val="008E28A6"/>
    <w:rsid w:val="008E4B87"/>
    <w:rsid w:val="008E5203"/>
    <w:rsid w:val="008F1E32"/>
    <w:rsid w:val="008F5661"/>
    <w:rsid w:val="008F6534"/>
    <w:rsid w:val="008F6700"/>
    <w:rsid w:val="00912E93"/>
    <w:rsid w:val="009229B8"/>
    <w:rsid w:val="00930538"/>
    <w:rsid w:val="0093501B"/>
    <w:rsid w:val="0093531C"/>
    <w:rsid w:val="00947F3D"/>
    <w:rsid w:val="00952E46"/>
    <w:rsid w:val="00953460"/>
    <w:rsid w:val="00956DBE"/>
    <w:rsid w:val="00961930"/>
    <w:rsid w:val="00971AB6"/>
    <w:rsid w:val="00974A23"/>
    <w:rsid w:val="00992B52"/>
    <w:rsid w:val="00997F24"/>
    <w:rsid w:val="009A2060"/>
    <w:rsid w:val="009B6CB9"/>
    <w:rsid w:val="009E1FF7"/>
    <w:rsid w:val="009F2330"/>
    <w:rsid w:val="00A109A4"/>
    <w:rsid w:val="00A16AB6"/>
    <w:rsid w:val="00A1750B"/>
    <w:rsid w:val="00A550CA"/>
    <w:rsid w:val="00A55403"/>
    <w:rsid w:val="00A5738E"/>
    <w:rsid w:val="00A709D2"/>
    <w:rsid w:val="00A907E8"/>
    <w:rsid w:val="00AB0AE3"/>
    <w:rsid w:val="00AB7DCB"/>
    <w:rsid w:val="00AC0E5B"/>
    <w:rsid w:val="00AC1FB1"/>
    <w:rsid w:val="00AC29FB"/>
    <w:rsid w:val="00AD5DF3"/>
    <w:rsid w:val="00AD6943"/>
    <w:rsid w:val="00B015F4"/>
    <w:rsid w:val="00B03B3D"/>
    <w:rsid w:val="00B07AC8"/>
    <w:rsid w:val="00B12B09"/>
    <w:rsid w:val="00B156DF"/>
    <w:rsid w:val="00B40A7E"/>
    <w:rsid w:val="00B41C0A"/>
    <w:rsid w:val="00B56D2D"/>
    <w:rsid w:val="00B85667"/>
    <w:rsid w:val="00BA7145"/>
    <w:rsid w:val="00BC2639"/>
    <w:rsid w:val="00BE1470"/>
    <w:rsid w:val="00BF24D5"/>
    <w:rsid w:val="00C05A95"/>
    <w:rsid w:val="00C12A10"/>
    <w:rsid w:val="00C20115"/>
    <w:rsid w:val="00C33A95"/>
    <w:rsid w:val="00C33E10"/>
    <w:rsid w:val="00C4501F"/>
    <w:rsid w:val="00C53A80"/>
    <w:rsid w:val="00C54B72"/>
    <w:rsid w:val="00C72312"/>
    <w:rsid w:val="00C75F07"/>
    <w:rsid w:val="00C97148"/>
    <w:rsid w:val="00CA038E"/>
    <w:rsid w:val="00CA3794"/>
    <w:rsid w:val="00CC0402"/>
    <w:rsid w:val="00CC1048"/>
    <w:rsid w:val="00CC1451"/>
    <w:rsid w:val="00CC393C"/>
    <w:rsid w:val="00CC4163"/>
    <w:rsid w:val="00CD309F"/>
    <w:rsid w:val="00CE0D3B"/>
    <w:rsid w:val="00CE4CA8"/>
    <w:rsid w:val="00CE7124"/>
    <w:rsid w:val="00D17C3F"/>
    <w:rsid w:val="00D34AAF"/>
    <w:rsid w:val="00D34D63"/>
    <w:rsid w:val="00D45116"/>
    <w:rsid w:val="00D73BCD"/>
    <w:rsid w:val="00D937BF"/>
    <w:rsid w:val="00DC40F4"/>
    <w:rsid w:val="00DC525C"/>
    <w:rsid w:val="00DD15C7"/>
    <w:rsid w:val="00DD3FBB"/>
    <w:rsid w:val="00DE5E1D"/>
    <w:rsid w:val="00E027A7"/>
    <w:rsid w:val="00E02D5D"/>
    <w:rsid w:val="00E14F2B"/>
    <w:rsid w:val="00E23CF3"/>
    <w:rsid w:val="00E27728"/>
    <w:rsid w:val="00E449E3"/>
    <w:rsid w:val="00E451AB"/>
    <w:rsid w:val="00E56AF9"/>
    <w:rsid w:val="00E66F35"/>
    <w:rsid w:val="00E77900"/>
    <w:rsid w:val="00EB26D9"/>
    <w:rsid w:val="00EB655F"/>
    <w:rsid w:val="00EC1D6C"/>
    <w:rsid w:val="00EE02EE"/>
    <w:rsid w:val="00EE037C"/>
    <w:rsid w:val="00EF55A5"/>
    <w:rsid w:val="00F03BEA"/>
    <w:rsid w:val="00F10397"/>
    <w:rsid w:val="00F13E78"/>
    <w:rsid w:val="00F232D2"/>
    <w:rsid w:val="00F270BA"/>
    <w:rsid w:val="00F4773D"/>
    <w:rsid w:val="00F556A9"/>
    <w:rsid w:val="00F60C32"/>
    <w:rsid w:val="00F72B8D"/>
    <w:rsid w:val="00F73B9F"/>
    <w:rsid w:val="00F74880"/>
    <w:rsid w:val="00F8346C"/>
    <w:rsid w:val="00F85E32"/>
    <w:rsid w:val="00F95349"/>
    <w:rsid w:val="00FB051B"/>
    <w:rsid w:val="00FE0B35"/>
    <w:rsid w:val="0B7D1FFD"/>
    <w:rsid w:val="12BD799B"/>
    <w:rsid w:val="16AF45AB"/>
    <w:rsid w:val="217B2B97"/>
    <w:rsid w:val="25B82E5A"/>
    <w:rsid w:val="27284D09"/>
    <w:rsid w:val="297208B4"/>
    <w:rsid w:val="2C5C6608"/>
    <w:rsid w:val="31262C24"/>
    <w:rsid w:val="312B32C2"/>
    <w:rsid w:val="31AE3DB0"/>
    <w:rsid w:val="333A03DB"/>
    <w:rsid w:val="33CB15A5"/>
    <w:rsid w:val="3A860E49"/>
    <w:rsid w:val="48205915"/>
    <w:rsid w:val="49F66C27"/>
    <w:rsid w:val="4B166E55"/>
    <w:rsid w:val="518014CC"/>
    <w:rsid w:val="52CD52EA"/>
    <w:rsid w:val="5D4D00C1"/>
    <w:rsid w:val="5EB033F0"/>
    <w:rsid w:val="5F4C7A04"/>
    <w:rsid w:val="6CAA0783"/>
    <w:rsid w:val="743D56C4"/>
    <w:rsid w:val="74DF74BD"/>
    <w:rsid w:val="77B92EBE"/>
    <w:rsid w:val="781D0435"/>
    <w:rsid w:val="787330F3"/>
    <w:rsid w:val="7924080B"/>
    <w:rsid w:val="7E26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5" w:after="200" w:afterLines="25"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numPr>
        <w:ilvl w:val="0"/>
        <w:numId w:val="1"/>
      </w:numPr>
      <w:spacing w:beforeLines="50" w:after="25"/>
      <w:ind w:left="0" w:hanging="431" w:hangingChars="205"/>
      <w:outlineLvl w:val="0"/>
    </w:pPr>
    <w:rPr>
      <w:b/>
      <w:bCs/>
      <w:kern w:val="44"/>
      <w:sz w:val="24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Lines="50" w:after="25"/>
      <w:ind w:left="0" w:hanging="578" w:hangingChars="275"/>
      <w:outlineLvl w:val="1"/>
    </w:pPr>
    <w:rPr>
      <w:b/>
      <w:bCs/>
      <w:szCs w:val="21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="25" w:after="25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numPr>
        <w:ilvl w:val="3"/>
        <w:numId w:val="1"/>
      </w:numPr>
      <w:spacing w:before="25" w:after="25"/>
      <w:ind w:left="-1" w:hanging="861"/>
      <w:outlineLvl w:val="3"/>
    </w:pPr>
    <w:rPr>
      <w:rFonts w:cstheme="majorBidi"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1"/>
    <w:qFormat/>
    <w:uiPriority w:val="0"/>
    <w:pPr>
      <w:widowControl/>
      <w:spacing w:beforeLines="0" w:afterLines="0" w:line="240" w:lineRule="auto"/>
      <w:jc w:val="left"/>
    </w:pPr>
    <w:rPr>
      <w:rFonts w:ascii="Arial" w:hAnsi="Arial" w:eastAsia="楷体_GB2312" w:cs="Arial"/>
      <w:kern w:val="0"/>
      <w:sz w:val="24"/>
      <w:szCs w:val="20"/>
      <w:lang w:val="en-GB"/>
    </w:rPr>
  </w:style>
  <w:style w:type="paragraph" w:styleId="12">
    <w:name w:val="Date"/>
    <w:basedOn w:val="1"/>
    <w:next w:val="1"/>
    <w:link w:val="40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6"/>
    <w:semiHidden/>
    <w:unhideWhenUsed/>
    <w:qFormat/>
    <w:uiPriority w:val="99"/>
    <w:pPr>
      <w:spacing w:line="240" w:lineRule="auto"/>
    </w:pPr>
    <w:rPr>
      <w:rFonts w:ascii="宋体"/>
      <w:sz w:val="18"/>
      <w:szCs w:val="18"/>
    </w:rPr>
  </w:style>
  <w:style w:type="paragraph" w:styleId="14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numPr>
        <w:ilvl w:val="0"/>
        <w:numId w:val="2"/>
      </w:numPr>
      <w:tabs>
        <w:tab w:val="left" w:pos="420"/>
        <w:tab w:val="right" w:leader="dot" w:pos="8302"/>
      </w:tabs>
      <w:spacing w:before="78" w:after="78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itle"/>
    <w:basedOn w:val="1"/>
    <w:next w:val="1"/>
    <w:link w:val="37"/>
    <w:qFormat/>
    <w:uiPriority w:val="10"/>
    <w:pPr>
      <w:pBdr>
        <w:bottom w:val="single" w:color="4F81BD" w:themeColor="accent1" w:sz="8" w:space="4"/>
      </w:pBdr>
      <w:spacing w:beforeLines="50" w:afterLines="50"/>
      <w:contextualSpacing/>
    </w:pPr>
    <w:rPr>
      <w:rFonts w:cstheme="majorBidi"/>
      <w:b/>
      <w:color w:val="17375E" w:themeColor="text2" w:themeShade="BF"/>
      <w:spacing w:val="5"/>
      <w:kern w:val="28"/>
      <w:sz w:val="28"/>
      <w:szCs w:val="52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character" w:customStyle="1" w:styleId="24">
    <w:name w:val="标题 1 字符"/>
    <w:basedOn w:val="21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24"/>
    </w:rPr>
  </w:style>
  <w:style w:type="character" w:customStyle="1" w:styleId="25">
    <w:name w:val="标题 2 字符"/>
    <w:basedOn w:val="21"/>
    <w:link w:val="3"/>
    <w:qFormat/>
    <w:uiPriority w:val="0"/>
    <w:rPr>
      <w:rFonts w:ascii="Times New Roman" w:hAnsi="Times New Roman" w:eastAsia="宋体" w:cs="Times New Roman"/>
      <w:b/>
      <w:bCs/>
      <w:kern w:val="2"/>
      <w:sz w:val="21"/>
      <w:szCs w:val="21"/>
    </w:rPr>
  </w:style>
  <w:style w:type="character" w:customStyle="1" w:styleId="26">
    <w:name w:val="标题 3 字符"/>
    <w:basedOn w:val="21"/>
    <w:link w:val="4"/>
    <w:qFormat/>
    <w:uiPriority w:val="0"/>
    <w:rPr>
      <w:rFonts w:ascii="Times New Roman" w:hAnsi="Times New Roman" w:eastAsia="宋体" w:cs="Times New Roman"/>
      <w:b/>
      <w:bCs/>
      <w:kern w:val="2"/>
      <w:sz w:val="21"/>
      <w:szCs w:val="32"/>
    </w:rPr>
  </w:style>
  <w:style w:type="character" w:customStyle="1" w:styleId="27">
    <w:name w:val="标题 4 字符"/>
    <w:basedOn w:val="21"/>
    <w:link w:val="5"/>
    <w:qFormat/>
    <w:uiPriority w:val="0"/>
    <w:rPr>
      <w:rFonts w:ascii="Times New Roman" w:hAnsi="Times New Roman" w:eastAsia="宋体" w:cstheme="majorBidi"/>
      <w:bCs/>
      <w:kern w:val="2"/>
      <w:sz w:val="21"/>
      <w:szCs w:val="28"/>
    </w:rPr>
  </w:style>
  <w:style w:type="character" w:customStyle="1" w:styleId="28">
    <w:name w:val="标题 5 字符"/>
    <w:basedOn w:val="21"/>
    <w:link w:val="6"/>
    <w:semiHidden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29">
    <w:name w:val="标题 6 字符"/>
    <w:basedOn w:val="2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0">
    <w:name w:val="标题 7 字符"/>
    <w:basedOn w:val="21"/>
    <w:link w:val="8"/>
    <w:semiHidden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31">
    <w:name w:val="标题 8 字符"/>
    <w:basedOn w:val="21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2">
    <w:name w:val="标题 9 字符"/>
    <w:basedOn w:val="21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3">
    <w:name w:val="页眉 字符"/>
    <w:basedOn w:val="21"/>
    <w:link w:val="1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35">
    <w:name w:val="List Paragraph"/>
    <w:basedOn w:val="1"/>
    <w:qFormat/>
    <w:uiPriority w:val="34"/>
    <w:pPr>
      <w:spacing w:beforeLines="0" w:afterLines="0"/>
      <w:ind w:firstLine="420" w:firstLineChars="200"/>
    </w:pPr>
    <w:rPr>
      <w:szCs w:val="22"/>
    </w:rPr>
  </w:style>
  <w:style w:type="character" w:customStyle="1" w:styleId="36">
    <w:name w:val="批注框文本 字符"/>
    <w:basedOn w:val="21"/>
    <w:link w:val="13"/>
    <w:semiHidden/>
    <w:qFormat/>
    <w:uiPriority w:val="99"/>
    <w:rPr>
      <w:rFonts w:ascii="宋体" w:hAnsi="Times New Roman" w:eastAsia="宋体" w:cs="Times New Roman"/>
      <w:kern w:val="2"/>
      <w:sz w:val="18"/>
      <w:szCs w:val="18"/>
    </w:rPr>
  </w:style>
  <w:style w:type="character" w:customStyle="1" w:styleId="37">
    <w:name w:val="标题 字符"/>
    <w:basedOn w:val="21"/>
    <w:link w:val="18"/>
    <w:qFormat/>
    <w:uiPriority w:val="10"/>
    <w:rPr>
      <w:rFonts w:ascii="Times New Roman" w:hAnsi="Times New Roman" w:eastAsia="宋体" w:cstheme="majorBidi"/>
      <w:b/>
      <w:color w:val="17375E" w:themeColor="text2" w:themeShade="BF"/>
      <w:spacing w:val="5"/>
      <w:kern w:val="28"/>
      <w:sz w:val="28"/>
      <w:szCs w:val="52"/>
    </w:rPr>
  </w:style>
  <w:style w:type="paragraph" w:styleId="38">
    <w:name w:val="No Spacing"/>
    <w:qFormat/>
    <w:uiPriority w:val="1"/>
    <w:pPr>
      <w:widowControl w:val="0"/>
      <w:spacing w:beforeLines="25" w:after="200" w:afterLines="25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ht"/>
    <w:basedOn w:val="1"/>
    <w:qFormat/>
    <w:uiPriority w:val="0"/>
    <w:pPr>
      <w:spacing w:beforeLines="0" w:afterLines="50" w:line="240" w:lineRule="auto"/>
    </w:pPr>
    <w:rPr>
      <w:rFonts w:ascii="宋体" w:hAnsi="宋体" w:cs="Arial"/>
      <w:b/>
      <w:bCs/>
      <w:snapToGrid w:val="0"/>
      <w:color w:val="000000"/>
      <w:sz w:val="24"/>
    </w:rPr>
  </w:style>
  <w:style w:type="character" w:customStyle="1" w:styleId="40">
    <w:name w:val="日期 字符"/>
    <w:basedOn w:val="21"/>
    <w:link w:val="1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41">
    <w:name w:val="正文文本 字符"/>
    <w:basedOn w:val="21"/>
    <w:link w:val="11"/>
    <w:qFormat/>
    <w:uiPriority w:val="0"/>
    <w:rPr>
      <w:rFonts w:ascii="Arial" w:hAnsi="Arial" w:eastAsia="楷体_GB2312" w:cs="Arial"/>
      <w:sz w:val="24"/>
      <w:szCs w:val="20"/>
      <w:lang w:val="en-GB"/>
    </w:rPr>
  </w:style>
  <w:style w:type="paragraph" w:customStyle="1" w:styleId="42">
    <w:name w:val="段"/>
    <w:link w:val="44"/>
    <w:qFormat/>
    <w:uiPriority w:val="99"/>
    <w:pPr>
      <w:autoSpaceDE w:val="0"/>
      <w:autoSpaceDN w:val="0"/>
      <w:ind w:firstLine="420" w:firstLineChars="200"/>
      <w:jc w:val="both"/>
    </w:pPr>
    <w:rPr>
      <w:rFonts w:ascii="宋体" w:hAnsi="Times New Roman" w:cs="Times New Roman" w:eastAsiaTheme="minorEastAsia"/>
      <w:sz w:val="21"/>
      <w:lang w:val="en-US" w:eastAsia="zh-CN" w:bidi="ar-SA"/>
    </w:rPr>
  </w:style>
  <w:style w:type="paragraph" w:customStyle="1" w:styleId="43">
    <w:name w:val="一级条标题"/>
    <w:basedOn w:val="1"/>
    <w:qFormat/>
    <w:uiPriority w:val="0"/>
    <w:pPr>
      <w:widowControl/>
      <w:spacing w:beforeLines="0" w:afterLines="0" w:line="240" w:lineRule="auto"/>
    </w:pPr>
    <w:rPr>
      <w:rFonts w:ascii="黑体" w:eastAsia="黑体"/>
      <w:kern w:val="0"/>
      <w:szCs w:val="20"/>
    </w:rPr>
  </w:style>
  <w:style w:type="character" w:customStyle="1" w:styleId="44">
    <w:name w:val="段 Char"/>
    <w:link w:val="42"/>
    <w:qFormat/>
    <w:uiPriority w:val="99"/>
    <w:rPr>
      <w:rFonts w:ascii="宋体" w:hAnsi="Times New Roman" w:cs="Times New Roman"/>
      <w:sz w:val="21"/>
      <w:szCs w:val="20"/>
    </w:rPr>
  </w:style>
  <w:style w:type="paragraph" w:customStyle="1" w:styleId="45">
    <w:name w:val="章标题"/>
    <w:next w:val="42"/>
    <w:qFormat/>
    <w:uiPriority w:val="0"/>
    <w:pPr>
      <w:spacing w:beforeLines="100" w:after="200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46">
    <w:name w:val="二级条标题"/>
    <w:basedOn w:val="43"/>
    <w:next w:val="42"/>
    <w:qFormat/>
    <w:uiPriority w:val="0"/>
    <w:pPr>
      <w:spacing w:beforeLines="50" w:afterLines="50"/>
      <w:ind w:left="568"/>
      <w:jc w:val="left"/>
      <w:outlineLvl w:val="3"/>
    </w:pPr>
    <w:rPr>
      <w:szCs w:val="21"/>
    </w:rPr>
  </w:style>
  <w:style w:type="paragraph" w:customStyle="1" w:styleId="47">
    <w:name w:val="三级条标题"/>
    <w:basedOn w:val="46"/>
    <w:next w:val="42"/>
    <w:qFormat/>
    <w:uiPriority w:val="0"/>
    <w:pPr>
      <w:ind w:left="0"/>
      <w:outlineLvl w:val="4"/>
    </w:pPr>
  </w:style>
  <w:style w:type="paragraph" w:customStyle="1" w:styleId="48">
    <w:name w:val="四级条标题"/>
    <w:basedOn w:val="47"/>
    <w:next w:val="42"/>
    <w:qFormat/>
    <w:uiPriority w:val="0"/>
    <w:pPr>
      <w:outlineLvl w:val="5"/>
    </w:pPr>
  </w:style>
  <w:style w:type="paragraph" w:customStyle="1" w:styleId="49">
    <w:name w:val="五级条标题"/>
    <w:basedOn w:val="48"/>
    <w:next w:val="42"/>
    <w:qFormat/>
    <w:uiPriority w:val="0"/>
    <w:pPr>
      <w:outlineLvl w:val="6"/>
    </w:pPr>
  </w:style>
  <w:style w:type="paragraph" w:customStyle="1" w:styleId="50">
    <w:name w:val="TOC 标题1"/>
    <w:basedOn w:val="2"/>
    <w:next w:val="1"/>
    <w:semiHidden/>
    <w:unhideWhenUsed/>
    <w:qFormat/>
    <w:uiPriority w:val="39"/>
    <w:pPr>
      <w:keepNext/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51">
    <w:name w:val="Body text|1"/>
    <w:basedOn w:val="1"/>
    <w:qFormat/>
    <w:uiPriority w:val="0"/>
    <w:pPr>
      <w:spacing w:beforeLines="0" w:after="120" w:afterLines="0" w:line="331" w:lineRule="auto"/>
      <w:ind w:firstLine="400"/>
    </w:pPr>
    <w:rPr>
      <w:rFonts w:ascii="宋体" w:hAnsi="宋体" w:cs="宋体"/>
      <w:sz w:val="20"/>
      <w:szCs w:val="2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CP-51\SMP&#27169;&#26495;&#65288;20120829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F30E-C471-4DC2-B3A4-262F8B9E2D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SMP模板（20120829）</Template>
  <Company>Starch Medical Inc</Company>
  <Pages>2</Pages>
  <Words>190</Words>
  <Characters>1087</Characters>
  <Lines>9</Lines>
  <Paragraphs>2</Paragraphs>
  <TotalTime>0</TotalTime>
  <ScaleCrop>false</ScaleCrop>
  <LinksUpToDate>false</LinksUpToDate>
  <CharactersWithSpaces>1275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2019-05-10T00:32:00Z</dcterms:created>
  <dc:creator>Administrator</dc:creator>
  <cp:keywords>SOP Template_CN</cp:keywords>
  <cp:lastModifiedBy>泰勒</cp:lastModifiedBy>
  <cp:lastPrinted>2022-04-28T10:50:30Z</cp:lastPrinted>
  <dcterms:modified xsi:type="dcterms:W3CDTF">2022-04-28T10:50:55Z</dcterms:modified>
  <dc:title>Standard Operating Procedure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DC2DFB3B8A194CDBB54A8B3B3854AE68</vt:lpwstr>
  </property>
</Properties>
</file>