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540" w:type="dxa"/>
        <w:jc w:val="center"/>
        <w:tblLayout w:type="fixed"/>
        <w:tblCellMar>
          <w:top w:w="0" w:type="dxa"/>
          <w:left w:w="108" w:type="dxa"/>
          <w:bottom w:w="0" w:type="dxa"/>
          <w:right w:w="108" w:type="dxa"/>
        </w:tblCellMar>
      </w:tblPr>
      <w:tblGrid>
        <w:gridCol w:w="7974"/>
        <w:gridCol w:w="1566"/>
      </w:tblGrid>
      <w:tr>
        <w:tblPrEx>
          <w:tblCellMar>
            <w:top w:w="0" w:type="dxa"/>
            <w:left w:w="108" w:type="dxa"/>
            <w:bottom w:w="0" w:type="dxa"/>
            <w:right w:w="108" w:type="dxa"/>
          </w:tblCellMar>
        </w:tblPrEx>
        <w:trPr>
          <w:cantSplit/>
          <w:trHeight w:val="515" w:hRule="atLeast"/>
          <w:jc w:val="center"/>
        </w:trPr>
        <w:tc>
          <w:tcPr>
            <w:tcW w:w="7974" w:type="dxa"/>
          </w:tcPr>
          <w:p>
            <w:pPr>
              <w:pStyle w:val="3"/>
              <w:jc w:val="both"/>
              <w:rPr>
                <w:rFonts w:ascii="宋体" w:hAnsi="宋体" w:cs="宋体"/>
                <w:b/>
              </w:rPr>
            </w:pPr>
          </w:p>
        </w:tc>
        <w:tc>
          <w:tcPr>
            <w:tcW w:w="1566" w:type="dxa"/>
            <w:tcBorders>
              <w:top w:val="single" w:color="auto" w:sz="12" w:space="0"/>
              <w:left w:val="single" w:color="auto" w:sz="12" w:space="0"/>
              <w:bottom w:val="single" w:color="auto" w:sz="12" w:space="0"/>
              <w:right w:val="single" w:color="auto" w:sz="12" w:space="0"/>
            </w:tcBorders>
          </w:tcPr>
          <w:p>
            <w:pPr>
              <w:pStyle w:val="3"/>
              <w:rPr>
                <w:rFonts w:ascii="宋体" w:hAnsi="宋体" w:cs="宋体"/>
                <w:b/>
                <w:sz w:val="24"/>
              </w:rPr>
            </w:pPr>
            <w:r>
              <w:rPr>
                <w:rFonts w:hint="eastAsia" w:ascii="宋体" w:hAnsi="宋体" w:cs="宋体"/>
                <w:b/>
                <w:sz w:val="24"/>
              </w:rPr>
              <w:t>正     本</w:t>
            </w:r>
          </w:p>
          <w:p>
            <w:pPr>
              <w:pStyle w:val="4"/>
              <w:ind w:firstLine="0"/>
              <w:jc w:val="center"/>
              <w:rPr>
                <w:rFonts w:ascii="宋体" w:hAnsi="宋体" w:cs="宋体"/>
                <w:b/>
                <w:i/>
                <w:sz w:val="24"/>
              </w:rPr>
            </w:pPr>
            <w:r>
              <w:rPr>
                <w:rFonts w:hint="eastAsia" w:ascii="宋体" w:hAnsi="宋体" w:cs="宋体"/>
                <w:b/>
                <w:i/>
                <w:sz w:val="24"/>
              </w:rPr>
              <w:t>ORIGINAL</w:t>
            </w:r>
          </w:p>
        </w:tc>
      </w:tr>
    </w:tbl>
    <w:p>
      <w:pPr>
        <w:jc w:val="center"/>
        <w:rPr>
          <w:rFonts w:ascii="宋体" w:hAnsi="宋体" w:cs="宋体"/>
          <w:b/>
          <w:sz w:val="44"/>
          <w:szCs w:val="44"/>
        </w:rPr>
      </w:pPr>
      <w:r>
        <w:rPr>
          <w:rFonts w:hint="eastAsia" w:ascii="宋体" w:hAnsi="宋体" w:cs="宋体"/>
          <w:b/>
          <w:sz w:val="44"/>
          <w:szCs w:val="44"/>
        </w:rPr>
        <w:t>合   同</w:t>
      </w:r>
    </w:p>
    <w:p>
      <w:pPr>
        <w:jc w:val="center"/>
        <w:rPr>
          <w:rFonts w:ascii="宋体" w:hAnsi="宋体" w:cs="宋体"/>
          <w:b/>
          <w:i/>
          <w:sz w:val="36"/>
          <w:szCs w:val="36"/>
        </w:rPr>
      </w:pPr>
      <w:r>
        <w:rPr>
          <w:rFonts w:hint="eastAsia" w:ascii="宋体" w:hAnsi="宋体" w:cs="宋体"/>
          <w:b/>
          <w:i/>
          <w:sz w:val="36"/>
          <w:szCs w:val="36"/>
        </w:rPr>
        <w:t>CONTRACT</w:t>
      </w:r>
    </w:p>
    <w:p>
      <w:pPr>
        <w:ind w:right="-759"/>
        <w:jc w:val="center"/>
        <w:rPr>
          <w:rFonts w:ascii="宋体" w:hAnsi="宋体" w:cs="宋体"/>
        </w:rPr>
      </w:pPr>
    </w:p>
    <w:tbl>
      <w:tblPr>
        <w:tblStyle w:val="8"/>
        <w:tblpPr w:leftFromText="180" w:rightFromText="180" w:vertAnchor="text" w:horzAnchor="margin" w:tblpXSpec="right" w:tblpY="-54"/>
        <w:tblW w:w="2647" w:type="dxa"/>
        <w:tblInd w:w="0" w:type="dxa"/>
        <w:tblLayout w:type="fixed"/>
        <w:tblCellMar>
          <w:top w:w="0" w:type="dxa"/>
          <w:left w:w="108" w:type="dxa"/>
          <w:bottom w:w="0" w:type="dxa"/>
          <w:right w:w="108" w:type="dxa"/>
        </w:tblCellMar>
      </w:tblPr>
      <w:tblGrid>
        <w:gridCol w:w="1192"/>
        <w:gridCol w:w="1455"/>
      </w:tblGrid>
      <w:tr>
        <w:tblPrEx>
          <w:tblCellMar>
            <w:top w:w="0" w:type="dxa"/>
            <w:left w:w="108" w:type="dxa"/>
            <w:bottom w:w="0" w:type="dxa"/>
            <w:right w:w="108" w:type="dxa"/>
          </w:tblCellMar>
        </w:tblPrEx>
        <w:trPr>
          <w:trHeight w:val="459" w:hRule="atLeast"/>
        </w:trPr>
        <w:tc>
          <w:tcPr>
            <w:tcW w:w="1192" w:type="dxa"/>
            <w:vAlign w:val="center"/>
          </w:tcPr>
          <w:p>
            <w:pPr>
              <w:ind w:right="-759"/>
              <w:jc w:val="both"/>
              <w:rPr>
                <w:rFonts w:ascii="宋体" w:hAnsi="宋体" w:cs="宋体"/>
                <w:sz w:val="21"/>
                <w:szCs w:val="21"/>
              </w:rPr>
            </w:pPr>
            <w:r>
              <w:rPr>
                <w:rFonts w:hint="eastAsia" w:ascii="宋体" w:hAnsi="宋体" w:cs="宋体"/>
                <w:sz w:val="21"/>
                <w:szCs w:val="21"/>
              </w:rPr>
              <w:t>合 同 号：</w:t>
            </w:r>
          </w:p>
        </w:tc>
        <w:tc>
          <w:tcPr>
            <w:tcW w:w="1455" w:type="dxa"/>
            <w:vAlign w:val="center"/>
          </w:tcPr>
          <w:p>
            <w:pPr>
              <w:ind w:right="-759"/>
              <w:jc w:val="both"/>
              <w:rPr>
                <w:rFonts w:hint="default" w:ascii="宋体" w:hAnsi="宋体" w:eastAsia="宋体" w:cs="宋体"/>
                <w:sz w:val="21"/>
                <w:szCs w:val="21"/>
                <w:lang w:val="en-US" w:eastAsia="zh-CN"/>
              </w:rPr>
            </w:pPr>
          </w:p>
        </w:tc>
      </w:tr>
      <w:tr>
        <w:tblPrEx>
          <w:tblCellMar>
            <w:top w:w="0" w:type="dxa"/>
            <w:left w:w="108" w:type="dxa"/>
            <w:bottom w:w="0" w:type="dxa"/>
            <w:right w:w="108" w:type="dxa"/>
          </w:tblCellMar>
        </w:tblPrEx>
        <w:trPr>
          <w:trHeight w:val="294" w:hRule="atLeast"/>
        </w:trPr>
        <w:tc>
          <w:tcPr>
            <w:tcW w:w="1192" w:type="dxa"/>
          </w:tcPr>
          <w:p>
            <w:pPr>
              <w:ind w:right="-759"/>
              <w:jc w:val="both"/>
              <w:rPr>
                <w:rFonts w:ascii="宋体" w:hAnsi="宋体" w:cs="宋体"/>
                <w:sz w:val="21"/>
                <w:szCs w:val="21"/>
              </w:rPr>
            </w:pPr>
            <w:r>
              <w:rPr>
                <w:rFonts w:hint="eastAsia" w:ascii="宋体" w:hAnsi="宋体" w:cs="宋体"/>
                <w:sz w:val="21"/>
                <w:szCs w:val="21"/>
              </w:rPr>
              <w:t>签约地点：</w:t>
            </w:r>
          </w:p>
        </w:tc>
        <w:tc>
          <w:tcPr>
            <w:tcW w:w="1455" w:type="dxa"/>
          </w:tcPr>
          <w:p>
            <w:pPr>
              <w:ind w:right="-759"/>
              <w:jc w:val="both"/>
              <w:rPr>
                <w:rFonts w:hint="eastAsia" w:ascii="宋体" w:hAnsi="宋体" w:eastAsia="宋体" w:cs="宋体"/>
                <w:sz w:val="21"/>
                <w:szCs w:val="21"/>
                <w:lang w:eastAsia="zh-CN"/>
              </w:rPr>
            </w:pPr>
            <w:r>
              <w:rPr>
                <w:rFonts w:hint="eastAsia" w:ascii="宋体" w:hAnsi="宋体" w:cs="宋体"/>
                <w:sz w:val="21"/>
                <w:szCs w:val="21"/>
                <w:lang w:eastAsia="zh-CN"/>
              </w:rPr>
              <w:t>广州市</w:t>
            </w:r>
          </w:p>
        </w:tc>
      </w:tr>
    </w:tbl>
    <w:p>
      <w:pPr>
        <w:ind w:right="-759"/>
        <w:jc w:val="both"/>
        <w:rPr>
          <w:rFonts w:ascii="宋体" w:hAnsi="宋体" w:cs="宋体"/>
          <w:b/>
          <w:sz w:val="21"/>
          <w:szCs w:val="21"/>
        </w:rPr>
      </w:pPr>
    </w:p>
    <w:p>
      <w:pPr>
        <w:ind w:right="-759"/>
        <w:jc w:val="both"/>
        <w:rPr>
          <w:rFonts w:ascii="宋体" w:hAnsi="宋体" w:cs="宋体"/>
          <w:sz w:val="21"/>
          <w:szCs w:val="21"/>
        </w:rPr>
      </w:pPr>
    </w:p>
    <w:p>
      <w:pPr>
        <w:jc w:val="both"/>
        <w:rPr>
          <w:rFonts w:ascii="宋体" w:hAnsi="宋体" w:cs="宋体"/>
          <w:sz w:val="21"/>
          <w:szCs w:val="21"/>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甲    方（买方）: </w:t>
      </w:r>
      <w:r>
        <w:rPr>
          <w:rFonts w:hint="eastAsia" w:cs="宋体" w:asciiTheme="minorEastAsia" w:hAnsiTheme="minorEastAsia" w:eastAsiaTheme="minorEastAsia"/>
          <w:sz w:val="21"/>
          <w:szCs w:val="21"/>
          <w:lang w:val="en-US" w:eastAsia="zh-CN"/>
        </w:rPr>
        <w:t>长沙爱孕记医疗科技有限公司</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地    址：</w:t>
      </w:r>
      <w:r>
        <w:rPr>
          <w:rFonts w:hint="eastAsia" w:cs="宋体" w:asciiTheme="minorEastAsia" w:hAnsiTheme="minorEastAsia" w:eastAsiaTheme="minorEastAsia"/>
          <w:sz w:val="21"/>
          <w:szCs w:val="21"/>
          <w:lang w:val="en-US" w:eastAsia="zh-CN"/>
        </w:rPr>
        <w:t>长沙高新开发区谷苑路 229 号海凭园生产厂房六 301</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联 系 人：</w:t>
      </w:r>
      <w:r>
        <w:rPr>
          <w:rFonts w:hint="eastAsia" w:cs="宋体" w:asciiTheme="minorEastAsia" w:hAnsiTheme="minorEastAsia" w:eastAsiaTheme="minorEastAsia"/>
          <w:sz w:val="21"/>
          <w:szCs w:val="21"/>
          <w:lang w:val="en-US" w:eastAsia="zh-CN"/>
        </w:rPr>
        <w:t>汪南</w:t>
      </w:r>
    </w:p>
    <w:p>
      <w:pPr>
        <w:spacing w:line="360" w:lineRule="auto"/>
        <w:rPr>
          <w:rFonts w:hint="default" w:cs="宋体" w:asciiTheme="minorEastAsia" w:hAnsiTheme="minorEastAsia" w:eastAsiaTheme="minorEastAsia"/>
          <w:sz w:val="21"/>
          <w:szCs w:val="21"/>
          <w:lang w:val="en-US"/>
        </w:rPr>
      </w:pPr>
      <w:r>
        <w:rPr>
          <w:rFonts w:hint="eastAsia" w:cs="宋体" w:asciiTheme="minorEastAsia" w:hAnsiTheme="minorEastAsia" w:eastAsiaTheme="minorEastAsia"/>
          <w:sz w:val="21"/>
          <w:szCs w:val="21"/>
        </w:rPr>
        <w:t>电    话</w:t>
      </w:r>
      <w:r>
        <w:rPr>
          <w:rFonts w:hint="eastAsia" w:cs="宋体" w:asciiTheme="minorEastAsia" w:hAnsiTheme="minorEastAsia" w:eastAsiaTheme="minorEastAsia"/>
          <w:sz w:val="21"/>
          <w:szCs w:val="21"/>
          <w:lang w:eastAsia="zh-CN"/>
        </w:rPr>
        <w:t>：</w:t>
      </w:r>
      <w:r>
        <w:rPr>
          <w:rFonts w:hint="eastAsia" w:cs="宋体" w:asciiTheme="minorEastAsia" w:hAnsiTheme="minorEastAsia" w:eastAsiaTheme="minorEastAsia"/>
          <w:sz w:val="21"/>
          <w:szCs w:val="21"/>
          <w:lang w:val="en-US" w:eastAsia="zh-CN"/>
        </w:rPr>
        <w:t>15820270510</w:t>
      </w:r>
    </w:p>
    <w:p>
      <w:pPr>
        <w:spacing w:line="312" w:lineRule="auto"/>
        <w:jc w:val="both"/>
        <w:rPr>
          <w:rFonts w:hint="eastAsia" w:cs="宋体" w:asciiTheme="minorEastAsia" w:hAnsiTheme="minorEastAsia" w:eastAsiaTheme="minorEastAsia"/>
          <w:sz w:val="21"/>
          <w:szCs w:val="21"/>
        </w:rPr>
      </w:pPr>
    </w:p>
    <w:p>
      <w:pPr>
        <w:spacing w:line="360" w:lineRule="auto"/>
        <w:rPr>
          <w:rFonts w:cs="宋体" w:asciiTheme="minorEastAsia" w:hAnsiTheme="minorEastAsia" w:eastAsiaTheme="minorEastAsia"/>
          <w:b/>
          <w:sz w:val="21"/>
          <w:szCs w:val="21"/>
        </w:rPr>
      </w:pPr>
      <w:r>
        <w:rPr>
          <w:rFonts w:hint="eastAsia" w:cs="宋体" w:asciiTheme="minorEastAsia" w:hAnsiTheme="minorEastAsia" w:eastAsiaTheme="minorEastAsia"/>
          <w:sz w:val="21"/>
          <w:szCs w:val="21"/>
        </w:rPr>
        <w:t>乙    方（卖方）： 广州爱孕记信息科技有限公司</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地    址： 广州市越秀区中山三路3</w:t>
      </w:r>
      <w:r>
        <w:rPr>
          <w:rFonts w:cs="宋体" w:asciiTheme="minorEastAsia" w:hAnsiTheme="minorEastAsia" w:eastAsiaTheme="minorEastAsia"/>
          <w:sz w:val="21"/>
          <w:szCs w:val="21"/>
        </w:rPr>
        <w:t>3</w:t>
      </w:r>
      <w:r>
        <w:rPr>
          <w:rFonts w:hint="eastAsia" w:cs="宋体" w:asciiTheme="minorEastAsia" w:hAnsiTheme="minorEastAsia" w:eastAsiaTheme="minorEastAsia"/>
          <w:sz w:val="21"/>
          <w:szCs w:val="21"/>
        </w:rPr>
        <w:t>号中华国际中心B塔4</w:t>
      </w:r>
      <w:r>
        <w:rPr>
          <w:rFonts w:cs="宋体" w:asciiTheme="minorEastAsia" w:hAnsiTheme="minorEastAsia" w:eastAsiaTheme="minorEastAsia"/>
          <w:sz w:val="21"/>
          <w:szCs w:val="21"/>
        </w:rPr>
        <w:t>504</w:t>
      </w:r>
      <w:r>
        <w:rPr>
          <w:rFonts w:hint="eastAsia" w:cs="宋体" w:asciiTheme="minorEastAsia" w:hAnsiTheme="minorEastAsia" w:eastAsiaTheme="minorEastAsia"/>
          <w:sz w:val="21"/>
          <w:szCs w:val="21"/>
        </w:rPr>
        <w:t>室</w:t>
      </w:r>
    </w:p>
    <w:p>
      <w:pPr>
        <w:spacing w:line="312" w:lineRule="auto"/>
        <w:jc w:val="both"/>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联 系 人： </w:t>
      </w:r>
      <w:r>
        <w:rPr>
          <w:rFonts w:hint="eastAsia" w:cs="宋体" w:asciiTheme="minorEastAsia" w:hAnsiTheme="minorEastAsia" w:eastAsiaTheme="minorEastAsia"/>
          <w:sz w:val="21"/>
          <w:szCs w:val="21"/>
          <w:lang w:val="en-US" w:eastAsia="zh-CN"/>
        </w:rPr>
        <w:t>汪南</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电    话：</w:t>
      </w:r>
      <w:r>
        <w:rPr>
          <w:rFonts w:cs="宋体" w:asciiTheme="minorEastAsia" w:hAnsiTheme="minorEastAsia" w:eastAsiaTheme="minorEastAsia"/>
          <w:sz w:val="21"/>
          <w:szCs w:val="21"/>
        </w:rPr>
        <w:t>15820270510</w:t>
      </w:r>
    </w:p>
    <w:p>
      <w:pPr>
        <w:jc w:val="both"/>
        <w:rPr>
          <w:rFonts w:ascii="宋体" w:hAnsi="宋体" w:cs="宋体"/>
          <w:sz w:val="21"/>
          <w:szCs w:val="21"/>
        </w:rPr>
      </w:pPr>
    </w:p>
    <w:p>
      <w:pPr>
        <w:spacing w:line="360" w:lineRule="auto"/>
        <w:ind w:firstLine="420" w:firstLineChars="200"/>
        <w:jc w:val="both"/>
        <w:rPr>
          <w:rFonts w:ascii="宋体" w:hAnsi="宋体" w:cs="宋体"/>
          <w:sz w:val="21"/>
          <w:szCs w:val="21"/>
        </w:rPr>
      </w:pPr>
      <w:r>
        <w:rPr>
          <w:rFonts w:hint="eastAsia" w:ascii="宋体" w:hAnsi="宋体" w:cs="宋体"/>
          <w:sz w:val="21"/>
          <w:szCs w:val="21"/>
        </w:rPr>
        <w:t>根据《中华人民共和国合同法》，在平等互利、协商一致的基础上，甲、乙双方同意订立本合同，并承诺遵守本合同的所有条款。</w:t>
      </w:r>
    </w:p>
    <w:p>
      <w:pPr>
        <w:spacing w:line="360" w:lineRule="auto"/>
        <w:ind w:firstLine="422" w:firstLineChars="200"/>
        <w:jc w:val="both"/>
        <w:rPr>
          <w:rFonts w:ascii="宋体" w:hAnsi="宋体" w:cs="宋体"/>
          <w:b/>
          <w:sz w:val="21"/>
          <w:szCs w:val="21"/>
        </w:rPr>
      </w:pPr>
      <w:r>
        <w:rPr>
          <w:rFonts w:hint="eastAsia" w:ascii="宋体" w:hAnsi="宋体" w:cs="宋体"/>
          <w:b/>
          <w:sz w:val="21"/>
          <w:szCs w:val="21"/>
        </w:rPr>
        <w:t>一、合同标的</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买方同意购买，卖方同意出售下述货物：</w:t>
      </w:r>
    </w:p>
    <w:tbl>
      <w:tblPr>
        <w:tblStyle w:val="8"/>
        <w:tblW w:w="502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138"/>
        <w:gridCol w:w="1335"/>
        <w:gridCol w:w="675"/>
        <w:gridCol w:w="930"/>
        <w:gridCol w:w="195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587" w:type="pct"/>
            <w:vAlign w:val="center"/>
          </w:tcPr>
          <w:p>
            <w:pPr>
              <w:overflowPunct/>
              <w:autoSpaceDE/>
              <w:autoSpaceDN/>
              <w:adjustRightInd/>
              <w:jc w:val="center"/>
              <w:textAlignment w:val="auto"/>
              <w:rPr>
                <w:rFonts w:hint="eastAsia" w:ascii="宋体" w:hAnsi="宋体" w:cs="宋体"/>
                <w:sz w:val="21"/>
                <w:szCs w:val="21"/>
              </w:rPr>
            </w:pPr>
            <w:r>
              <w:rPr>
                <w:rFonts w:hint="eastAsia" w:ascii="宋体" w:hAnsi="宋体" w:cs="宋体"/>
                <w:sz w:val="21"/>
                <w:szCs w:val="21"/>
              </w:rPr>
              <w:t>货物名称</w:t>
            </w:r>
          </w:p>
        </w:tc>
        <w:tc>
          <w:tcPr>
            <w:tcW w:w="1073" w:type="pct"/>
            <w:vAlign w:val="center"/>
          </w:tcPr>
          <w:p>
            <w:pPr>
              <w:spacing w:line="312" w:lineRule="auto"/>
              <w:jc w:val="center"/>
              <w:rPr>
                <w:rFonts w:ascii="宋体" w:hAnsi="宋体" w:cs="宋体"/>
                <w:sz w:val="21"/>
                <w:szCs w:val="21"/>
              </w:rPr>
            </w:pPr>
            <w:r>
              <w:rPr>
                <w:rFonts w:ascii="宋体" w:hAnsi="宋体" w:cs="宋体"/>
                <w:sz w:val="21"/>
                <w:szCs w:val="21"/>
              </w:rPr>
              <w:t>制造商/产地</w:t>
            </w:r>
          </w:p>
        </w:tc>
        <w:tc>
          <w:tcPr>
            <w:tcW w:w="670" w:type="pct"/>
            <w:vAlign w:val="center"/>
          </w:tcPr>
          <w:p>
            <w:pPr>
              <w:jc w:val="center"/>
              <w:rPr>
                <w:rFonts w:ascii="宋体" w:hAnsi="宋体" w:cs="宋体"/>
                <w:sz w:val="21"/>
                <w:szCs w:val="21"/>
              </w:rPr>
            </w:pPr>
            <w:r>
              <w:rPr>
                <w:rFonts w:hint="eastAsia" w:ascii="宋体" w:hAnsi="宋体" w:cs="宋体"/>
                <w:sz w:val="21"/>
                <w:szCs w:val="21"/>
              </w:rPr>
              <w:t>型号</w:t>
            </w:r>
          </w:p>
        </w:tc>
        <w:tc>
          <w:tcPr>
            <w:tcW w:w="338"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数量</w:t>
            </w:r>
          </w:p>
        </w:tc>
        <w:tc>
          <w:tcPr>
            <w:tcW w:w="467"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单位</w:t>
            </w:r>
          </w:p>
        </w:tc>
        <w:tc>
          <w:tcPr>
            <w:tcW w:w="982"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单价</w:t>
            </w:r>
          </w:p>
        </w:tc>
        <w:tc>
          <w:tcPr>
            <w:tcW w:w="879"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587" w:type="pct"/>
            <w:vAlign w:val="center"/>
          </w:tcPr>
          <w:p>
            <w:pPr>
              <w:jc w:val="center"/>
              <w:rPr>
                <w:rFonts w:hint="default" w:ascii="宋体" w:hAnsi="宋体" w:cs="宋体"/>
                <w:sz w:val="21"/>
                <w:szCs w:val="21"/>
                <w:lang w:val="en-US" w:eastAsia="zh-CN"/>
              </w:rPr>
            </w:pPr>
            <w:r>
              <w:rPr>
                <w:rFonts w:hint="eastAsia" w:ascii="宋体" w:hAnsi="宋体" w:cs="宋体"/>
                <w:sz w:val="21"/>
                <w:szCs w:val="21"/>
                <w:lang w:val="en-US" w:eastAsia="zh-CN"/>
              </w:rPr>
              <w:t>软件组件</w:t>
            </w:r>
          </w:p>
        </w:tc>
        <w:tc>
          <w:tcPr>
            <w:tcW w:w="1073" w:type="pct"/>
            <w:vAlign w:val="center"/>
          </w:tcPr>
          <w:p>
            <w:pPr>
              <w:pStyle w:val="5"/>
              <w:spacing w:line="312" w:lineRule="auto"/>
              <w:rPr>
                <w:rFonts w:hint="default" w:hAnsi="宋体" w:eastAsia="宋体" w:cs="宋体"/>
                <w:sz w:val="21"/>
                <w:szCs w:val="21"/>
                <w:lang w:val="en-US" w:eastAsia="zh-CN"/>
              </w:rPr>
            </w:pPr>
            <w:r>
              <w:rPr>
                <w:rFonts w:hint="eastAsia" w:hAnsi="宋体" w:cs="宋体"/>
                <w:sz w:val="21"/>
                <w:szCs w:val="21"/>
                <w:lang w:val="en-US" w:eastAsia="zh-CN"/>
              </w:rPr>
              <w:t>广州爱孕记信息科技有限公司</w:t>
            </w:r>
          </w:p>
        </w:tc>
        <w:tc>
          <w:tcPr>
            <w:tcW w:w="670" w:type="pct"/>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V1.0</w:t>
            </w:r>
          </w:p>
        </w:tc>
        <w:tc>
          <w:tcPr>
            <w:tcW w:w="338"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2</w:t>
            </w:r>
          </w:p>
        </w:tc>
        <w:tc>
          <w:tcPr>
            <w:tcW w:w="467"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台</w:t>
            </w:r>
          </w:p>
        </w:tc>
        <w:tc>
          <w:tcPr>
            <w:tcW w:w="982"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r>
              <w:rPr>
                <w:rFonts w:hint="eastAsia" w:ascii="宋体" w:hAnsi="宋体" w:cs="宋体"/>
                <w:sz w:val="21"/>
                <w:szCs w:val="21"/>
                <w:u w:val="none"/>
                <w:lang w:val="en-US" w:eastAsia="zh-CN"/>
              </w:rPr>
              <w:t>10000</w:t>
            </w:r>
          </w:p>
        </w:tc>
        <w:tc>
          <w:tcPr>
            <w:tcW w:w="879"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r>
              <w:rPr>
                <w:rFonts w:hint="eastAsia" w:ascii="宋体" w:hAnsi="宋体" w:cs="宋体"/>
                <w:b/>
                <w:sz w:val="21"/>
                <w:szCs w:val="21"/>
                <w:u w:val="none"/>
                <w:lang w:val="en-US" w:eastAsia="zh-CN"/>
              </w:rPr>
              <w:t>2</w:t>
            </w:r>
            <w:r>
              <w:rPr>
                <w:rFonts w:hint="eastAsia" w:ascii="宋体" w:hAnsi="宋体" w:cs="宋体"/>
                <w:sz w:val="21"/>
                <w:szCs w:val="21"/>
                <w:u w:val="no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jc w:val="center"/>
        </w:trPr>
        <w:tc>
          <w:tcPr>
            <w:tcW w:w="5000" w:type="pct"/>
            <w:gridSpan w:val="7"/>
            <w:vAlign w:val="bottom"/>
          </w:tcPr>
          <w:p>
            <w:pPr>
              <w:spacing w:line="360" w:lineRule="auto"/>
              <w:ind w:right="100" w:rightChars="50"/>
              <w:jc w:val="both"/>
              <w:rPr>
                <w:rFonts w:hint="eastAsia" w:ascii="宋体" w:hAnsi="宋体" w:cs="宋体"/>
                <w:sz w:val="21"/>
                <w:szCs w:val="21"/>
              </w:rPr>
            </w:pPr>
          </w:p>
          <w:p>
            <w:pPr>
              <w:spacing w:line="360" w:lineRule="auto"/>
              <w:ind w:right="100" w:rightChars="50"/>
              <w:jc w:val="both"/>
              <w:rPr>
                <w:rFonts w:hint="eastAsia" w:ascii="宋体" w:hAnsi="宋体" w:eastAsia="宋体" w:cs="宋体"/>
                <w:bCs/>
                <w:sz w:val="21"/>
                <w:szCs w:val="21"/>
                <w:lang w:eastAsia="zh-CN"/>
              </w:rPr>
            </w:pPr>
            <w:r>
              <w:rPr>
                <w:rFonts w:hint="eastAsia" w:ascii="宋体" w:hAnsi="宋体" w:cs="宋体"/>
                <w:sz w:val="21"/>
                <w:szCs w:val="21"/>
              </w:rPr>
              <w:t>总价：人民币（大写）</w:t>
            </w:r>
            <w:r>
              <w:rPr>
                <w:rFonts w:hint="eastAsia" w:ascii="宋体" w:hAnsi="宋体" w:cs="宋体"/>
                <w:sz w:val="21"/>
                <w:szCs w:val="21"/>
                <w:u w:val="single"/>
              </w:rPr>
              <w:t>元整</w:t>
            </w:r>
            <w:r>
              <w:rPr>
                <w:rFonts w:hint="eastAsia" w:ascii="宋体" w:hAnsi="宋体" w:cs="宋体"/>
                <w:b/>
                <w:sz w:val="21"/>
                <w:szCs w:val="21"/>
              </w:rPr>
              <w:t>（</w:t>
            </w:r>
            <w:r>
              <w:rPr>
                <w:rFonts w:hint="eastAsia" w:ascii="宋体" w:hAnsi="宋体" w:cs="宋体"/>
                <w:b/>
                <w:sz w:val="21"/>
                <w:szCs w:val="21"/>
                <w:u w:val="single"/>
              </w:rPr>
              <w:t>¥</w:t>
            </w:r>
            <w:bookmarkStart w:id="0" w:name="_GoBack"/>
            <w:bookmarkEnd w:id="0"/>
            <w:r>
              <w:rPr>
                <w:rFonts w:hint="eastAsia" w:ascii="宋体" w:hAnsi="宋体" w:cs="宋体"/>
                <w:b/>
                <w:sz w:val="21"/>
                <w:szCs w:val="21"/>
                <w:u w:val="single"/>
                <w:lang w:val="en-US" w:eastAsia="zh-CN"/>
              </w:rPr>
              <w:t>200</w:t>
            </w:r>
            <w:r>
              <w:rPr>
                <w:rFonts w:ascii="宋体" w:hAnsi="宋体" w:cs="宋体"/>
                <w:b/>
                <w:sz w:val="21"/>
                <w:szCs w:val="21"/>
                <w:u w:val="single"/>
              </w:rPr>
              <w:t>00</w:t>
            </w:r>
            <w:r>
              <w:rPr>
                <w:rFonts w:hint="eastAsia" w:ascii="宋体" w:hAnsi="宋体" w:cs="宋体"/>
                <w:sz w:val="21"/>
                <w:szCs w:val="21"/>
              </w:rPr>
              <w:t>）</w:t>
            </w:r>
          </w:p>
          <w:p>
            <w:pPr>
              <w:overflowPunct/>
              <w:autoSpaceDE/>
              <w:autoSpaceDN/>
              <w:adjustRightInd/>
              <w:spacing w:line="360" w:lineRule="auto"/>
              <w:jc w:val="both"/>
              <w:textAlignment w:val="auto"/>
              <w:rPr>
                <w:rFonts w:hint="eastAsia" w:ascii="宋体" w:hAnsi="宋体" w:cs="宋体"/>
                <w:sz w:val="21"/>
                <w:szCs w:val="21"/>
              </w:rPr>
            </w:pPr>
          </w:p>
        </w:tc>
      </w:tr>
    </w:tbl>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numPr>
          <w:ilvl w:val="0"/>
          <w:numId w:val="2"/>
        </w:num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付款方式及付款时间</w:t>
      </w:r>
    </w:p>
    <w:p>
      <w:pPr>
        <w:pStyle w:val="16"/>
        <w:spacing w:line="360" w:lineRule="auto"/>
        <w:ind w:right="100" w:rightChars="5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乙方在规定时间内交货并验收合格后，出具等额发票，甲方在收到发票后15个工作日支付合同总货款的100%人民币（大写）</w:t>
      </w:r>
      <w:r>
        <w:rPr>
          <w:rFonts w:hint="eastAsia" w:ascii="宋体" w:hAnsi="宋体" w:cs="宋体"/>
          <w:kern w:val="0"/>
          <w:sz w:val="21"/>
          <w:szCs w:val="21"/>
          <w:lang w:val="en-US" w:eastAsia="zh-CN" w:bidi="ar-SA"/>
        </w:rPr>
        <w:t xml:space="preserve">  </w:t>
      </w:r>
      <w:r>
        <w:rPr>
          <w:rFonts w:hint="eastAsia" w:ascii="宋体" w:hAnsi="宋体" w:cs="宋体"/>
          <w:sz w:val="21"/>
          <w:szCs w:val="21"/>
          <w:u w:val="single"/>
        </w:rPr>
        <w:t>元整</w:t>
      </w:r>
      <w:r>
        <w:rPr>
          <w:rFonts w:hint="eastAsia" w:ascii="宋体" w:hAnsi="宋体" w:eastAsia="宋体" w:cs="宋体"/>
          <w:kern w:val="0"/>
          <w:sz w:val="21"/>
          <w:szCs w:val="21"/>
          <w:lang w:val="en-US" w:eastAsia="zh-CN" w:bidi="ar-SA"/>
        </w:rPr>
        <w:t>，小写</w:t>
      </w:r>
      <w:r>
        <w:rPr>
          <w:rFonts w:hint="eastAsia" w:ascii="宋体" w:hAnsi="宋体" w:eastAsia="宋体" w:cs="宋体"/>
          <w:kern w:val="0"/>
          <w:sz w:val="21"/>
          <w:szCs w:val="21"/>
          <w:u w:val="single"/>
          <w:lang w:val="en-US" w:eastAsia="zh-CN" w:bidi="ar-SA"/>
        </w:rPr>
        <w:t>￥</w:t>
      </w:r>
      <w:r>
        <w:rPr>
          <w:rFonts w:hint="eastAsia" w:ascii="宋体" w:hAnsi="宋体" w:cs="宋体"/>
          <w:kern w:val="0"/>
          <w:sz w:val="21"/>
          <w:szCs w:val="21"/>
          <w:u w:val="single"/>
          <w:lang w:val="en-US" w:eastAsia="zh-CN" w:bidi="ar-SA"/>
        </w:rPr>
        <w:t>.00</w:t>
      </w:r>
      <w:r>
        <w:rPr>
          <w:rFonts w:hint="eastAsia" w:ascii="宋体" w:hAnsi="宋体" w:eastAsia="宋体" w:cs="宋体"/>
          <w:kern w:val="0"/>
          <w:sz w:val="21"/>
          <w:szCs w:val="21"/>
          <w:lang w:val="en-US" w:eastAsia="zh-CN" w:bidi="ar-SA"/>
        </w:rPr>
        <w:t>.</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乙方户名： 广州爱孕记信息科技有限公司</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开 户 行： 兴业银行股份有限公司广州东风支行</w:t>
      </w:r>
    </w:p>
    <w:p>
      <w:pPr>
        <w:pStyle w:val="16"/>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账    号：391120100100142618</w:t>
      </w:r>
    </w:p>
    <w:p>
      <w:pPr>
        <w:pStyle w:val="16"/>
        <w:ind w:left="780" w:firstLine="0" w:firstLineChars="0"/>
        <w:rPr>
          <w:rFonts w:hint="eastAsia" w:ascii="宋体" w:hAnsi="宋体" w:eastAsia="宋体" w:cs="宋体"/>
          <w:kern w:val="0"/>
          <w:sz w:val="21"/>
          <w:szCs w:val="21"/>
          <w:lang w:val="en-US" w:eastAsia="zh-CN" w:bidi="ar-SA"/>
        </w:rPr>
      </w:pP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三、交付时间、地点、运输方式和运费的支付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1．双方在签订合同后30日内发货。甲方同意由乙方委托第三人代为运输货物，货物交付第一承运人时即视为交付。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2．甲方确认运输方式和收货信息如下：</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（1）运输方式：</w:t>
      </w:r>
      <w:r>
        <w:rPr>
          <w:rFonts w:hint="eastAsia" w:ascii="宋体" w:hAnsi="宋体" w:cs="宋体"/>
          <w:sz w:val="21"/>
          <w:szCs w:val="21"/>
          <w:u w:val="single"/>
        </w:rPr>
        <w:t>公路</w:t>
      </w:r>
      <w:r>
        <w:rPr>
          <w:rFonts w:hint="eastAsia" w:ascii="宋体" w:hAnsi="宋体" w:cs="宋体"/>
          <w:sz w:val="21"/>
          <w:szCs w:val="21"/>
        </w:rPr>
        <w:t>运输；</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（2）收货单位名称：</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（3）收货地址：</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rPr>
          <w:rFonts w:hint="eastAsia" w:ascii="宋体" w:hAnsi="宋体" w:cs="宋体"/>
          <w:sz w:val="21"/>
          <w:szCs w:val="21"/>
        </w:rPr>
      </w:pPr>
      <w:r>
        <w:rPr>
          <w:rFonts w:hint="eastAsia" w:ascii="宋体" w:hAnsi="宋体" w:cs="宋体"/>
          <w:sz w:val="21"/>
          <w:szCs w:val="21"/>
        </w:rPr>
        <w:t>（4）收货人和联系方式：</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3．铁路运输或公路运输零担的运费由乙方支付，但由于甲方中途变更运输方式或收货信息所增加的运费由甲方承担。</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四、质量标准及包装要求</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1．本合同的货物制造商为：广州爱孕记信息科技有限公司；</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2．乙方保证货物是货物制造商生产的、测试可用、未在其他第三方机构使用过的新品；</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五、验收及安装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甲方或者甲方指定的收货单位收到货物后应即刻予以验收；如收到货物后十日内未向乙方提出异议，则视为货物已验收合格。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六、保修期限和标准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1．原厂即货物制造商负责对销售给甲方的货物予以保修，保修期自货物视为向甲方交付之日起计算，产品保修期限为</w:t>
      </w:r>
      <w:r>
        <w:rPr>
          <w:rFonts w:hint="eastAsia" w:ascii="宋体" w:hAnsi="宋体" w:cs="宋体"/>
          <w:bCs/>
          <w:sz w:val="21"/>
          <w:szCs w:val="21"/>
          <w:u w:val="single"/>
        </w:rPr>
        <w:t>壹年</w:t>
      </w:r>
      <w:r>
        <w:rPr>
          <w:rFonts w:hint="eastAsia" w:ascii="宋体" w:hAnsi="宋体" w:cs="宋体"/>
          <w:bCs/>
          <w:sz w:val="21"/>
          <w:szCs w:val="21"/>
        </w:rPr>
        <w:t>；</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2．因甲方使用、保管、保养不当，或台风、地震、水灾或其它自然灾害，或由非乙方授权人员修理引起的故障以及易耗品不在保修范围之内。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3．保修期届满后乙方可协助联系原厂继续提供维修服务，但由甲方支付维修人员的差旅费、维修费用及材料费等费用。</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七、知识产权</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在本合同生效日期前已存在的版权及其他知识产权应属在本合同生效日期前拥有该权利的一方。任何一方均不可通过本合同取得对方所拥有的版权、专利、商业秘密、商标或任何其他知识产权的所有权。</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八、不可抗力</w:t>
      </w:r>
    </w:p>
    <w:p>
      <w:pPr>
        <w:spacing w:line="360" w:lineRule="auto"/>
        <w:ind w:right="100" w:rightChars="50" w:firstLine="420" w:firstLineChars="200"/>
        <w:rPr>
          <w:rFonts w:ascii="宋体" w:hAnsi="宋体" w:cs="宋体"/>
          <w:b/>
          <w:bCs/>
          <w:sz w:val="21"/>
          <w:szCs w:val="21"/>
        </w:rPr>
      </w:pPr>
      <w:r>
        <w:rPr>
          <w:rFonts w:hint="eastAsia" w:ascii="宋体" w:hAnsi="宋体" w:cs="宋体"/>
          <w:bCs/>
          <w:sz w:val="21"/>
          <w:szCs w:val="21"/>
        </w:rPr>
        <w:t>本合同所称不可抗力、意外事件是指不能预见、不能避免且不能克服，对合同履行造成重大影响的客观事件。在这种情况下，遭受不可抗力、意外事件的一方不承担违约责任，但应自该事件发生之日起五日内以书面形式通知对方，以减轻可能给对方造成的损失，并于事件发生之日起二十日内向对方提供有关书面证明。</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九、货物权属及风险转移</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1．乙方在未收到甲方支付的全部货款前，合同中的全部货物的所有权归乙方所有，未经乙方同意甲方不得擅自处理。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2．货物自交付之日起，甲方对货物的安全、遗缺、丢失、外力损伤、灭失等承担全部责任。</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（1）甲方无正当理由拒收全部或部分货物或中途退货的，甲方应向乙方支付合同总价百分之三十的违约金，给乙方造成损失的，还应当全额赔偿（包括但不限于运费、仓储费用损失）；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2）甲方逾期付款的，除应及时付足货款外，还应按逾期付款金额每日万分之五向乙方支付逾期付款违约金；逾期付款超过七日，乙方有权解除合同，甲方并应按照本条第1（1）项约定的违约金标准向乙方支付违约金及赔偿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（3）甲方违反保密义务，造成乙方损失的，应向乙方给予赔偿。</w:t>
      </w:r>
    </w:p>
    <w:p>
      <w:pPr>
        <w:spacing w:line="360" w:lineRule="auto"/>
        <w:ind w:firstLine="420" w:firstLineChars="200"/>
        <w:rPr>
          <w:rFonts w:ascii="宋体" w:hAnsi="宋体" w:cs="宋体"/>
          <w:bCs/>
          <w:sz w:val="21"/>
          <w:szCs w:val="21"/>
        </w:rPr>
      </w:pPr>
      <w:r>
        <w:rPr>
          <w:rFonts w:hint="eastAsia" w:ascii="宋体" w:hAnsi="宋体" w:cs="宋体"/>
          <w:bCs/>
          <w:sz w:val="21"/>
          <w:szCs w:val="21"/>
        </w:rPr>
        <w:t>2．乙方的违约责任：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乙方逾期交付的，应按逾期交对应货物货款金额的每日万分之五向甲方支付违约金。</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十一、争端解决</w:t>
      </w:r>
    </w:p>
    <w:p>
      <w:pPr>
        <w:spacing w:line="360" w:lineRule="auto"/>
        <w:ind w:right="100" w:rightChars="50" w:firstLine="420" w:firstLineChars="200"/>
        <w:rPr>
          <w:rFonts w:ascii="宋体" w:hAnsi="宋体" w:cs="宋体"/>
          <w:bCs/>
          <w:sz w:val="21"/>
          <w:szCs w:val="21"/>
          <w:u w:val="single"/>
        </w:rPr>
      </w:pPr>
      <w:r>
        <w:rPr>
          <w:rFonts w:hint="eastAsia" w:ascii="宋体" w:hAnsi="宋体" w:cs="宋体"/>
          <w:bCs/>
          <w:sz w:val="21"/>
          <w:szCs w:val="21"/>
        </w:rPr>
        <w:t>因本合同引起的任何争议，应协商解决；若协商不成时，双方均有权向乙方所在地有管辖权的人民法院提起诉讼。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十二、合同文本及效力</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1．本合同自双方签字、盖章之日起生效。</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2．合同正本一式二份，甲、乙双方各执一份，具有同等法律效力。</w:t>
      </w:r>
    </w:p>
    <w:p>
      <w:pPr>
        <w:spacing w:line="360" w:lineRule="auto"/>
        <w:ind w:right="100" w:rightChars="50"/>
        <w:rPr>
          <w:rFonts w:ascii="宋体" w:hAnsi="宋体" w:cs="宋体"/>
          <w:bCs/>
          <w:sz w:val="21"/>
          <w:szCs w:val="21"/>
        </w:rPr>
      </w:pPr>
    </w:p>
    <w:p>
      <w:pPr>
        <w:spacing w:line="360" w:lineRule="auto"/>
        <w:ind w:right="100" w:rightChars="50" w:firstLine="400" w:firstLineChars="200"/>
        <w:rPr>
          <w:rFonts w:hint="eastAsia" w:ascii="宋体" w:hAnsi="宋体" w:cs="宋体"/>
          <w:bCs/>
          <w:sz w:val="21"/>
          <w:szCs w:val="21"/>
        </w:rPr>
      </w:pPr>
      <w:r>
        <w:rPr>
          <w:rFonts w:ascii="宋体" w:hAnsi="宋体" w:cs="宋体"/>
        </w:rPr>
        <mc:AlternateContent>
          <mc:Choice Requires="wps">
            <w:drawing>
              <wp:anchor distT="0" distB="0" distL="114300" distR="114300" simplePos="0" relativeHeight="251661312" behindDoc="0" locked="0" layoutInCell="1" allowOverlap="1">
                <wp:simplePos x="0" y="0"/>
                <wp:positionH relativeFrom="column">
                  <wp:posOffset>127000</wp:posOffset>
                </wp:positionH>
                <wp:positionV relativeFrom="paragraph">
                  <wp:posOffset>248285</wp:posOffset>
                </wp:positionV>
                <wp:extent cx="3390900" cy="256857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0" cy="2101215"/>
                        </a:xfrm>
                        <a:prstGeom prst="rect">
                          <a:avLst/>
                        </a:prstGeom>
                        <a:noFill/>
                        <a:ln>
                          <a:noFill/>
                        </a:ln>
                        <a:effectLst/>
                      </wps:spPr>
                      <wps:txb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长沙爱孕记医疗科技有限公司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0pt;margin-top:19.55pt;height:202.25pt;width:267pt;z-index:251661312;mso-width-relative:page;mso-height-relative:page;" filled="f" stroked="f" coordsize="21600,21600" o:gfxdata="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sucm1AAAAAgBAAAPAAAAAAAAAAEAIAAAACIA&#10;AABkcnMvZG93bnJldi54bWxQSwECFAAUAAAACACHTuJAIWg+Dg0CAAAjBAAADgAAAAAAAAABACAA&#10;AAAjAQAAZHJzL2Uyb0RvYy54bWxQSwUGAAAAAAYABgBZAQAAogUAAAAA&#10;">
                <v:fill on="f" focussize="0,0"/>
                <v:stroke on="f"/>
                <v:imagedata o:title=""/>
                <o:lock v:ext="edit" aspectratio="f"/>
                <v:textbo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长沙爱孕记医疗科技有限公司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v:textbox>
              </v:shape>
            </w:pict>
          </mc:Fallback>
        </mc:AlternateContent>
      </w:r>
      <w:r>
        <w:rPr>
          <w:rFonts w:hint="eastAsia" w:ascii="宋体" w:hAnsi="宋体" w:cs="宋体"/>
          <w:bCs/>
          <w:sz w:val="21"/>
          <w:szCs w:val="21"/>
        </w:rPr>
        <w:t>（以下无正文，仅为甲、乙双方签章及合同附件）</w:t>
      </w:r>
    </w:p>
    <w:p>
      <w:pPr>
        <w:spacing w:line="360" w:lineRule="auto"/>
        <w:ind w:right="100" w:rightChars="50" w:firstLine="400" w:firstLineChars="200"/>
        <w:rPr>
          <w:rFonts w:hint="eastAsia" w:ascii="宋体" w:hAnsi="宋体" w:cs="宋体"/>
          <w:bCs/>
          <w:sz w:val="21"/>
          <w:szCs w:val="21"/>
        </w:rPr>
      </w:pPr>
      <w:r>
        <w:rPr>
          <w:rFonts w:ascii="宋体" w:hAnsi="宋体" w:cs="宋体"/>
        </w:rPr>
        <mc:AlternateContent>
          <mc:Choice Requires="wps">
            <w:drawing>
              <wp:anchor distT="0" distB="0" distL="114300" distR="114300" simplePos="0" relativeHeight="251660288" behindDoc="0" locked="0" layoutInCell="1" allowOverlap="1">
                <wp:simplePos x="0" y="0"/>
                <wp:positionH relativeFrom="column">
                  <wp:posOffset>3403600</wp:posOffset>
                </wp:positionH>
                <wp:positionV relativeFrom="paragraph">
                  <wp:posOffset>8255</wp:posOffset>
                </wp:positionV>
                <wp:extent cx="3152775" cy="2228850"/>
                <wp:effectExtent l="0" t="0" r="9525" b="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3152775" cy="2215515"/>
                        </a:xfrm>
                        <a:prstGeom prst="rect">
                          <a:avLst/>
                        </a:prstGeom>
                        <a:solidFill>
                          <a:srgbClr val="FFFFFF"/>
                        </a:solidFill>
                        <a:ln>
                          <a:noFill/>
                        </a:ln>
                        <a:effectLst/>
                      </wps:spPr>
                      <wps:txb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68pt;margin-top:0.65pt;height:175.5pt;width:248.25pt;z-index:251660288;mso-width-relative:page;mso-height-relative:page;" fillcolor="#FFFFFF" filled="t" stroked="f" coordsize="21600,21600" o:gfxdata="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wZmDJ&#10;2AAAAAoBAAAPAAAAAAAAAAEAIAAAACIAAABkcnMvZG93bnJldi54bWxQSwECFAAUAAAACACHTuJA&#10;yMZddyECAABMBAAADgAAAAAAAAABACAAAAAnAQAAZHJzL2Uyb0RvYy54bWxQSwUGAAAAAAYABgBZ&#10;AQAAugUAAAAA&#10;">
                <v:fill on="t" focussize="0,0"/>
                <v:stroke on="f"/>
                <v:imagedata o:title=""/>
                <o:lock v:ext="edit" aspectratio="f"/>
                <v:textbo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v:textbox>
              </v:shape>
            </w:pict>
          </mc:Fallback>
        </mc:AlternateContent>
      </w:r>
    </w:p>
    <w:p>
      <w:pPr>
        <w:spacing w:line="360" w:lineRule="auto"/>
        <w:ind w:right="100" w:rightChars="50" w:firstLine="420" w:firstLineChars="200"/>
        <w:rPr>
          <w:rFonts w:hint="eastAsia" w:ascii="宋体" w:hAnsi="宋体" w:cs="宋体"/>
          <w:bCs/>
          <w:sz w:val="21"/>
          <w:szCs w:val="21"/>
        </w:rPr>
      </w:pPr>
    </w:p>
    <w:p>
      <w:pPr>
        <w:spacing w:line="360" w:lineRule="auto"/>
        <w:ind w:right="100" w:rightChars="50" w:firstLine="420" w:firstLineChars="200"/>
        <w:rPr>
          <w:rFonts w:ascii="宋体" w:hAnsi="宋体" w:cs="宋体"/>
          <w:bCs/>
          <w:sz w:val="21"/>
          <w:szCs w:val="21"/>
        </w:rPr>
      </w:pPr>
    </w:p>
    <w:p>
      <w:pPr>
        <w:spacing w:beforeLines="100" w:line="480" w:lineRule="exact"/>
        <w:rPr>
          <w:rFonts w:ascii="宋体" w:hAnsi="宋体" w:cs="宋体"/>
          <w:sz w:val="30"/>
          <w:szCs w:val="30"/>
        </w:rPr>
      </w:pPr>
    </w:p>
    <w:p>
      <w:pPr>
        <w:spacing w:beforeLines="100" w:line="480" w:lineRule="exact"/>
        <w:rPr>
          <w:rFonts w:ascii="宋体" w:hAnsi="宋体" w:cs="宋体"/>
          <w:sz w:val="30"/>
          <w:szCs w:val="30"/>
        </w:rPr>
      </w:pPr>
    </w:p>
    <w:p>
      <w:pPr>
        <w:sectPr>
          <w:headerReference r:id="rId3" w:type="default"/>
          <w:footerReference r:id="rId4" w:type="default"/>
          <w:footerReference r:id="rId5" w:type="even"/>
          <w:pgSz w:w="11907" w:h="16834"/>
          <w:pgMar w:top="1134" w:right="907" w:bottom="1134" w:left="1300" w:header="720" w:footer="680" w:gutter="0"/>
          <w:pgNumType w:fmt="decimal"/>
          <w:cols w:space="720" w:num="1"/>
          <w:docGrid w:linePitch="271" w:charSpace="0"/>
        </w:sectPr>
      </w:pPr>
    </w:p>
    <w:p>
      <w:pPr>
        <w:rPr>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4</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E037F8"/>
    <w:multiLevelType w:val="multilevel"/>
    <w:tmpl w:val="4EE037F8"/>
    <w:lvl w:ilvl="0" w:tentative="0">
      <w:start w:val="1"/>
      <w:numFmt w:val="chineseCountingThousand"/>
      <w:pStyle w:val="2"/>
      <w:lvlText w:val="%1、"/>
      <w:lvlJc w:val="left"/>
      <w:pPr>
        <w:ind w:left="425" w:hanging="425"/>
      </w:pPr>
      <w:rPr>
        <w:rFonts w:hint="eastAsia"/>
      </w:rPr>
    </w:lvl>
    <w:lvl w:ilvl="1" w:tentative="0">
      <w:start w:val="1"/>
      <w:numFmt w:val="decimal"/>
      <w:isLgl/>
      <w:lvlText w:val="%1.%2"/>
      <w:lvlJc w:val="left"/>
      <w:pPr>
        <w:ind w:left="1275" w:hanging="567"/>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isLgl/>
      <w:lvlText w:val="%1.%2.%3"/>
      <w:lvlJc w:val="left"/>
      <w:pPr>
        <w:ind w:left="2268" w:hanging="85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522961"/>
    <w:multiLevelType w:val="singleLevel"/>
    <w:tmpl w:val="58522961"/>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13"/>
    <w:rsid w:val="00020616"/>
    <w:rsid w:val="001408B5"/>
    <w:rsid w:val="001C7353"/>
    <w:rsid w:val="002A4293"/>
    <w:rsid w:val="002F60CF"/>
    <w:rsid w:val="00341904"/>
    <w:rsid w:val="003562A9"/>
    <w:rsid w:val="00937A88"/>
    <w:rsid w:val="00943DA2"/>
    <w:rsid w:val="00AE45F7"/>
    <w:rsid w:val="00AF4FEC"/>
    <w:rsid w:val="00B11F13"/>
    <w:rsid w:val="00B211C8"/>
    <w:rsid w:val="00C62605"/>
    <w:rsid w:val="00D07BB9"/>
    <w:rsid w:val="00D92A3A"/>
    <w:rsid w:val="00DC42CA"/>
    <w:rsid w:val="03F1520B"/>
    <w:rsid w:val="07FA12BE"/>
    <w:rsid w:val="09B337A5"/>
    <w:rsid w:val="0DC92BB9"/>
    <w:rsid w:val="1A9F789A"/>
    <w:rsid w:val="1BD026D2"/>
    <w:rsid w:val="1D9E1EA4"/>
    <w:rsid w:val="29370625"/>
    <w:rsid w:val="2C6E531E"/>
    <w:rsid w:val="2D8D5C78"/>
    <w:rsid w:val="317B5E57"/>
    <w:rsid w:val="3596107D"/>
    <w:rsid w:val="366A7645"/>
    <w:rsid w:val="37293A2C"/>
    <w:rsid w:val="377E19F2"/>
    <w:rsid w:val="3D083129"/>
    <w:rsid w:val="3DAA1973"/>
    <w:rsid w:val="3F3D5F3B"/>
    <w:rsid w:val="4061452F"/>
    <w:rsid w:val="44AD5CF6"/>
    <w:rsid w:val="44C46E5C"/>
    <w:rsid w:val="45050ABD"/>
    <w:rsid w:val="4EEA15FE"/>
    <w:rsid w:val="56CA66F2"/>
    <w:rsid w:val="59E377C9"/>
    <w:rsid w:val="5D7D33E7"/>
    <w:rsid w:val="61C21521"/>
    <w:rsid w:val="66213808"/>
    <w:rsid w:val="6A4157C9"/>
    <w:rsid w:val="6AAC0A4F"/>
    <w:rsid w:val="6B0065B2"/>
    <w:rsid w:val="6F77059D"/>
    <w:rsid w:val="75A04929"/>
    <w:rsid w:val="7A4A160C"/>
    <w:rsid w:val="7D1868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kern w:val="0"/>
      <w:sz w:val="20"/>
      <w:szCs w:val="20"/>
      <w:lang w:val="en-US" w:eastAsia="zh-CN" w:bidi="ar-SA"/>
    </w:rPr>
  </w:style>
  <w:style w:type="paragraph" w:styleId="2">
    <w:name w:val="heading 1"/>
    <w:basedOn w:val="1"/>
    <w:next w:val="1"/>
    <w:qFormat/>
    <w:uiPriority w:val="0"/>
    <w:pPr>
      <w:numPr>
        <w:ilvl w:val="0"/>
        <w:numId w:val="1"/>
      </w:numPr>
      <w:overflowPunct/>
      <w:autoSpaceDE/>
      <w:autoSpaceDN/>
      <w:adjustRightInd/>
      <w:textAlignment w:val="auto"/>
      <w:outlineLvl w:val="0"/>
    </w:pPr>
    <w:rPr>
      <w:rFonts w:ascii="Arial" w:hAnsi="Arial" w:cs="Arial"/>
      <w:b/>
      <w:bCs/>
      <w:kern w:val="2"/>
      <w:sz w:val="28"/>
      <w:szCs w:val="24"/>
      <w:lang w:eastAsia="zh-CN"/>
    </w:rPr>
  </w:style>
  <w:style w:type="paragraph" w:styleId="3">
    <w:name w:val="heading 2"/>
    <w:basedOn w:val="1"/>
    <w:next w:val="4"/>
    <w:link w:val="12"/>
    <w:qFormat/>
    <w:uiPriority w:val="0"/>
    <w:pPr>
      <w:keepNext/>
      <w:jc w:val="center"/>
      <w:outlineLvl w:val="1"/>
    </w:pPr>
    <w:rPr>
      <w:sz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Plain Text"/>
    <w:basedOn w:val="1"/>
    <w:link w:val="13"/>
    <w:qFormat/>
    <w:uiPriority w:val="0"/>
    <w:rPr>
      <w:rFonts w:ascii="宋体" w:hAnsi="Courier New"/>
    </w:rPr>
  </w:style>
  <w:style w:type="paragraph" w:styleId="6">
    <w:name w:val="footer"/>
    <w:basedOn w:val="1"/>
    <w:link w:val="14"/>
    <w:qFormat/>
    <w:uiPriority w:val="0"/>
    <w:pPr>
      <w:tabs>
        <w:tab w:val="center" w:pos="4153"/>
        <w:tab w:val="right" w:pos="8306"/>
      </w:tabs>
    </w:p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customStyle="1" w:styleId="12">
    <w:name w:val="标题 2 Char"/>
    <w:basedOn w:val="10"/>
    <w:link w:val="3"/>
    <w:qFormat/>
    <w:uiPriority w:val="0"/>
    <w:rPr>
      <w:rFonts w:ascii="Times New Roman" w:hAnsi="Times New Roman" w:eastAsia="宋体" w:cs="Times New Roman"/>
      <w:kern w:val="0"/>
      <w:sz w:val="28"/>
      <w:szCs w:val="20"/>
    </w:rPr>
  </w:style>
  <w:style w:type="character" w:customStyle="1" w:styleId="13">
    <w:name w:val="纯文本 Char"/>
    <w:basedOn w:val="10"/>
    <w:link w:val="5"/>
    <w:qFormat/>
    <w:uiPriority w:val="0"/>
    <w:rPr>
      <w:rFonts w:ascii="宋体" w:hAnsi="Courier New" w:eastAsia="宋体" w:cs="Times New Roman"/>
      <w:kern w:val="0"/>
      <w:sz w:val="20"/>
      <w:szCs w:val="20"/>
    </w:rPr>
  </w:style>
  <w:style w:type="character" w:customStyle="1" w:styleId="14">
    <w:name w:val="页脚 Char"/>
    <w:basedOn w:val="10"/>
    <w:link w:val="6"/>
    <w:qFormat/>
    <w:uiPriority w:val="0"/>
    <w:rPr>
      <w:rFonts w:ascii="Times New Roman" w:hAnsi="Times New Roman" w:eastAsia="宋体" w:cs="Times New Roman"/>
      <w:kern w:val="0"/>
      <w:sz w:val="20"/>
      <w:szCs w:val="20"/>
    </w:rPr>
  </w:style>
  <w:style w:type="character" w:customStyle="1" w:styleId="15">
    <w:name w:val="页眉 Char"/>
    <w:basedOn w:val="10"/>
    <w:link w:val="7"/>
    <w:qFormat/>
    <w:uiPriority w:val="0"/>
    <w:rPr>
      <w:rFonts w:ascii="Times New Roman" w:hAnsi="Times New Roman" w:eastAsia="宋体" w:cs="Times New Roman"/>
      <w:kern w:val="0"/>
      <w:sz w:val="18"/>
      <w:szCs w:val="18"/>
    </w:rPr>
  </w:style>
  <w:style w:type="paragraph" w:styleId="16">
    <w:name w:val="List Paragraph"/>
    <w:basedOn w:val="1"/>
    <w:unhideWhenUsed/>
    <w:qFormat/>
    <w:uiPriority w:val="1"/>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1642</Words>
  <Characters>1728</Characters>
  <Lines>14</Lines>
  <Paragraphs>4</Paragraphs>
  <TotalTime>5</TotalTime>
  <ScaleCrop>false</ScaleCrop>
  <LinksUpToDate>false</LinksUpToDate>
  <CharactersWithSpaces>1792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2021-04-15T06:54:00Z</dcterms:created>
  <dc:creator>汪 南</dc:creator>
  <cp:lastModifiedBy>橙丫丫</cp:lastModifiedBy>
  <cp:lastPrinted>2021-11-03T03:00:00Z</cp:lastPrinted>
  <dcterms:modified xsi:type="dcterms:W3CDTF">2022-04-25T02:33:40Z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D0053B31C8E94982A85744E3D5370150</vt:lpwstr>
  </property>
  <property fmtid="{D5CDD505-2E9C-101B-9397-08002B2CF9AE}" pid="4" name="commondata">
    <vt:lpwstr>eyJoZGlkIjoiNzlhMDIzZjBkMjRjYzI1ZGUxMDVkZWUxMjkyMzg2NmMifQ==</vt:lpwstr>
  </property>
</Properties>
</file>