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软件可追溯性分析工具使用记录表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</w:p>
    <w:p>
      <w:pPr>
        <w:ind w:firstLine="7560" w:firstLineChars="3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AYJ</w:t>
      </w:r>
      <w:r>
        <w:rPr>
          <w:rFonts w:hint="eastAsia" w:ascii="宋体" w:hAnsi="宋体" w:eastAsia="宋体" w:cs="宋体"/>
          <w:lang w:val="en-US" w:eastAsia="zh-CN"/>
        </w:rPr>
        <w:t>/QR730-028   A/0</w:t>
      </w:r>
    </w:p>
    <w:tbl>
      <w:tblPr>
        <w:tblStyle w:val="5"/>
        <w:tblW w:w="9633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4624"/>
        <w:gridCol w:w="1591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3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产前超声医学图像处理软件</w:t>
            </w: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8"/>
                <w:szCs w:val="28"/>
                <w:lang w:val="en-US" w:eastAsia="zh-Hans"/>
              </w:rPr>
              <w:t>工具名称</w:t>
            </w: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8"/>
                <w:szCs w:val="28"/>
                <w:lang w:val="en-US" w:eastAsia="zh-Hans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3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806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软件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内容概述</w:t>
            </w: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使用人</w:t>
            </w: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使用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4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V_0.8</w:t>
            </w:r>
          </w:p>
        </w:tc>
        <w:tc>
          <w:tcPr>
            <w:tcW w:w="462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新增产品关键主体功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能，影像处理、用户登录、系统设置&amp;授权</w:t>
            </w: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V_0.9</w:t>
            </w: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新增知识图谱功能</w:t>
            </w: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val="en-US" w:eastAsia="zh-CN"/>
              </w:rPr>
              <w:t>V_1.0</w:t>
            </w: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8"/>
                <w:szCs w:val="28"/>
                <w:lang w:eastAsia="zh-Hans"/>
              </w:rPr>
              <w:t>新增图文报告功能</w:t>
            </w: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1EC9"/>
    <w:rsid w:val="0B7DD4E5"/>
    <w:rsid w:val="0FFF0D50"/>
    <w:rsid w:val="160D1EC9"/>
    <w:rsid w:val="496F191B"/>
    <w:rsid w:val="5DBD4E6E"/>
    <w:rsid w:val="AF6D6D29"/>
    <w:rsid w:val="CBFFD437"/>
    <w:rsid w:val="E27E16CF"/>
    <w:rsid w:val="EC8F8160"/>
    <w:rsid w:val="F3672849"/>
    <w:rsid w:val="FBDF4DE5"/>
    <w:rsid w:val="FDDA2747"/>
    <w:rsid w:val="FEBB3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2018-01-19T19:36:00Z</dcterms:created>
  <dc:creator>admin</dc:creator>
  <cp:lastModifiedBy>snick</cp:lastModifiedBy>
  <dcterms:modified xsi:type="dcterms:W3CDTF">2021-05-12T17:46:26Z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