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软件详细设计评审记录表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bookmarkStart w:id="0" w:name="_GoBack"/>
      <w:bookmarkEnd w:id="0"/>
      <w:r>
        <w:rPr>
          <w:rFonts w:hint="default" w:asciiTheme="minorEastAsia" w:hAnsiTheme="minorEastAsia" w:cstheme="minorEastAsia"/>
        </w:rPr>
        <w:t>2020-06-01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</w:rPr>
              <w:t>2020-06-01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软件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Hans"/>
              </w:rPr>
              <w:t>详细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设计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新增知识图谱功能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1、软件应有遗传综合征检索功能，可提供遗传综合征病例图文参考资料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2、软件应有遗传综合征诊断引导功能，可提供遗传综合征诊断图文参考资料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3、软件应有遗传综合征对比鉴别功能，可提供至多6种遗传综合征症状内容对比表框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default" w:asciiTheme="minorEastAsia" w:hAnsiTheme="minorEastAsia" w:cstheme="minorEastAsia"/>
        </w:rPr>
        <w:t>2020-06-01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default" w:asciiTheme="minorEastAsia" w:hAnsiTheme="minorEastAsia" w:cstheme="minorEastAsia"/>
        </w:rPr>
        <w:t>2020-06-01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5CBE825A"/>
    <w:rsid w:val="5DF636E3"/>
    <w:rsid w:val="5DFFFDC8"/>
    <w:rsid w:val="6F99C995"/>
    <w:rsid w:val="749B28AB"/>
    <w:rsid w:val="752BA7B9"/>
    <w:rsid w:val="7D4BFA52"/>
    <w:rsid w:val="7DFF6617"/>
    <w:rsid w:val="7F5A889E"/>
    <w:rsid w:val="7F6C0193"/>
    <w:rsid w:val="7FB9F9C5"/>
    <w:rsid w:val="7FDFEE78"/>
    <w:rsid w:val="7FF5158B"/>
    <w:rsid w:val="AFF16E84"/>
    <w:rsid w:val="B6F72E2D"/>
    <w:rsid w:val="BCF5EE1D"/>
    <w:rsid w:val="BDFA13DB"/>
    <w:rsid w:val="D19E63EA"/>
    <w:rsid w:val="DF56F3D7"/>
    <w:rsid w:val="DFBF89BC"/>
    <w:rsid w:val="FB6788CE"/>
    <w:rsid w:val="FBBB2D4A"/>
    <w:rsid w:val="FC476008"/>
    <w:rsid w:val="FD07CB1D"/>
    <w:rsid w:val="FDFA7CFD"/>
    <w:rsid w:val="FE77D046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2019-11-02T08:54:00Z</dcterms:created>
  <dc:creator>admin</dc:creator>
  <cp:lastModifiedBy>snick</cp:lastModifiedBy>
  <cp:lastPrinted>2019-11-01T12:59:00Z</cp:lastPrinted>
  <dcterms:modified xsi:type="dcterms:W3CDTF">2021-05-20T12:06:56Z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