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8"/>
          <w:rFonts w:hint="default"/>
          <w:b/>
          <w:bCs/>
        </w:rPr>
        <w:t xml:space="preserve">1 </w:t>
      </w:r>
      <w:r>
        <w:rPr>
          <w:rStyle w:val="8"/>
          <w:b/>
          <w:bCs/>
        </w:rPr>
        <w:t>背景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t>（简要描述企业数据分级保护措施的整体管控思路）</w:t>
      </w:r>
    </w:p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8"/>
          <w:rFonts w:hint="default"/>
          <w:b/>
          <w:bCs/>
        </w:rPr>
        <w:t xml:space="preserve">2 </w:t>
      </w:r>
      <w:r>
        <w:rPr>
          <w:rStyle w:val="8"/>
          <w:b/>
          <w:bCs/>
        </w:rPr>
        <w:t>分级保护原则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t>（按照企业数据资产管理制度/办法，明确不同级别的数据在不同使用场景中的管控手段和原则）</w:t>
      </w:r>
    </w:p>
    <w:tbl>
      <w:tblPr>
        <w:tblStyle w:val="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4"/>
        <w:gridCol w:w="766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</w:pPr>
            <w:r>
              <w:t>数据级别（示例）</w:t>
            </w: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rPr>
                <w:rStyle w:val="8"/>
                <w:b/>
                <w:bCs/>
              </w:rPr>
              <w:t>管控要求：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restart"/>
            <w:tcBorders>
              <w:top w:val="outset" w:color="auto" w:sz="8" w:space="0"/>
              <w:left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</w:pPr>
            <w:r>
              <w:t>1级（机密）</w:t>
            </w: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级别定义：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left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管控原则：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升级管控场景：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  <w:rPr>
                <w:rFonts w:hint="default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使用者（公开范围），量级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restart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</w:pPr>
            <w:r>
              <w:t>2级（秘密）</w:t>
            </w: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级别定义：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管控原则：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升级管控场景：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restart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</w:pPr>
            <w:r>
              <w:t>3级（对内公开）</w:t>
            </w: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级别定义：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管控原则：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升级管控场景：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restart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</w:pPr>
            <w:r>
              <w:t>4级（对外公开）</w:t>
            </w: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管控原则：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4" w:type="dxa"/>
            <w:vMerge w:val="continue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left"/>
            </w:pPr>
            <w:r>
              <w:t>升级管控场景：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Fonts w:hint="default"/>
        </w:rPr>
        <w:t xml:space="preserve">3 </w:t>
      </w:r>
      <w:r>
        <w:t>审批场景及对应流程</w:t>
      </w:r>
    </w:p>
    <w:p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8"/>
          <w:b/>
          <w:bCs/>
        </w:rPr>
        <w:t>3.1 数据导出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3.1.1</w:t>
      </w:r>
      <w:r>
        <w:rPr>
          <w:rFonts w:hint="default"/>
        </w:rPr>
        <w:t xml:space="preserve"> </w:t>
      </w:r>
      <w:r>
        <w:t>场景定义：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（明确该场景的要素条件以及示例场景）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3.1.2</w:t>
      </w:r>
      <w:r>
        <w:rPr>
          <w:rFonts w:hint="default"/>
        </w:rPr>
        <w:t xml:space="preserve"> </w:t>
      </w:r>
      <w:r>
        <w:t>审批流程图：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（插入该场景下的流程图，流程图需包含审批、执行、监督（如有）等环节。将数据级别、用途、公开范围、数据量级等要素纳入升级保护的考虑范围）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rPr>
          <w:rFonts w:ascii="微软雅黑" w:hAnsi="微软雅黑" w:eastAsia="微软雅黑"/>
          <w:color w:val="333333"/>
          <w:spacing w:val="0"/>
          <w:sz w:val="24"/>
          <w:szCs w:val="24"/>
          <w:shd w:val="clear" w:fill="FFFFFF"/>
        </w:rPr>
        <w:drawing>
          <wp:inline distT="0" distB="0" distL="0" distR="0">
            <wp:extent cx="5195570" cy="4468495"/>
            <wp:effectExtent l="0" t="0" r="11430" b="1905"/>
            <wp:docPr id="2" name="图片 2" descr="/private/var/folders/q6/lttgmm3d1k72yl0q8sgcmmd00000gn/T/com.kingsoft.wpsoffice.mac/photoedit2/2022111419355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q6/lttgmm3d1k72yl0q8sgcmmd00000gn/T/com.kingsoft.wpsoffice.mac/photoedit2/20221114193554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 数据查看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3.2.1场景定义：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（明确该场景的要素条件以及示例场景）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3.2.2审批流程图：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（插入该场景下的流程图，流程图需包含审批、执行、监督（如有）等环节。将数据级别、用途、公开范围、数据量级等要素纳入升级保护的考虑范围）</w:t>
      </w:r>
    </w:p>
    <w:p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3.3 数据外发/共享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3.3.1场景定义：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（明确该场景的要素条件以及示例场景）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3.3.2审批流程图：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（插入该场景下的流程图，流程图需包含审批、执行、监督（如有）等环节。将数据级别、用途、公开范围、数据量级等要素纳入升级保护的考虑范围）</w:t>
      </w:r>
    </w:p>
    <w:p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3.4 数据接口调用审批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3.4.1场景定义：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（明确该场景的要素条件以及示例场景）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3.4.2审批流程图：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（插入该场景下的流程图，流程图需包含审批、执行、监督（如有）等环节。将数据级别、用途、公开范围、数据量级等要素纳入升级保护的考虑范围）</w:t>
      </w:r>
    </w:p>
    <w:p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3.5 数据删除/销毁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3.5.1场景定义：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（明确该场景的要素条件以及示例场景）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3.5.2审批流程图：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（插入该场景下的流程图，流程图需包含审批、执行、监督（如有）等环节。将数据级别、用途、公开范围、数据量级等要素纳入升级保护的考虑范围）</w:t>
      </w:r>
    </w:p>
    <w:p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36"/>
          <w:szCs w:val="36"/>
        </w:rPr>
      </w:pPr>
      <w:r>
        <w:rPr>
          <w:sz w:val="36"/>
          <w:szCs w:val="36"/>
        </w:rPr>
        <w:t>3.6 系统数据权限申请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3.6.1场景定义：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（明确该场景的要素条件以及示例场景）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3.6.2审批流程图：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（插入该场景下的流程图，流程图需包含审批、执行、监督（如有）等环节。将数据级别、用途、公开范围、数据量级等要素纳入升级保护的考虑范围）</w:t>
      </w:r>
    </w:p>
    <w:p>
      <w:pPr>
        <w:pStyle w:val="5"/>
        <w:keepNext w:val="0"/>
        <w:keepLines w:val="0"/>
        <w:widowControl/>
        <w:suppressLineNumbers w:val="0"/>
        <w:jc w:val="left"/>
      </w:pPr>
      <w:r>
        <w:t>.....</w:t>
      </w:r>
    </w:p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Fonts w:hint="default"/>
        </w:rPr>
        <w:t xml:space="preserve">4 </w:t>
      </w:r>
      <w:r>
        <w:t>技术实施方案</w:t>
      </w:r>
    </w:p>
    <w:tbl>
      <w:tblPr>
        <w:tblStyle w:val="6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927"/>
        <w:gridCol w:w="1260"/>
        <w:gridCol w:w="1951"/>
        <w:gridCol w:w="684"/>
        <w:gridCol w:w="1223"/>
        <w:gridCol w:w="672"/>
        <w:gridCol w:w="880"/>
        <w:gridCol w:w="827"/>
        <w:gridCol w:w="74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数据库类别</w:t>
            </w:r>
          </w:p>
        </w:tc>
        <w:tc>
          <w:tcPr>
            <w:tcW w:w="16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数据库名称</w:t>
            </w:r>
          </w:p>
        </w:tc>
        <w:tc>
          <w:tcPr>
            <w:tcW w:w="16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数据库IP</w:t>
            </w:r>
          </w:p>
        </w:tc>
        <w:tc>
          <w:tcPr>
            <w:tcW w:w="152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表名</w:t>
            </w:r>
          </w:p>
        </w:tc>
        <w:tc>
          <w:tcPr>
            <w:tcW w:w="18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表释义</w:t>
            </w:r>
          </w:p>
        </w:tc>
        <w:tc>
          <w:tcPr>
            <w:tcW w:w="17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字段释义</w:t>
            </w:r>
          </w:p>
        </w:tc>
        <w:tc>
          <w:tcPr>
            <w:tcW w:w="188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字段类型</w:t>
            </w:r>
          </w:p>
        </w:tc>
        <w:tc>
          <w:tcPr>
            <w:tcW w:w="19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字段分类</w:t>
            </w:r>
          </w:p>
        </w:tc>
        <w:tc>
          <w:tcPr>
            <w:tcW w:w="186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rStyle w:val="8"/>
                <w:b/>
                <w:bCs/>
                <w:sz w:val="18"/>
                <w:szCs w:val="18"/>
              </w:rPr>
              <w:t>敏感等级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16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settdbw</w:t>
            </w:r>
          </w:p>
        </w:tc>
        <w:tc>
          <w:tcPr>
            <w:tcW w:w="16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172.168.2.XX</w:t>
            </w:r>
          </w:p>
        </w:tc>
        <w:tc>
          <w:tcPr>
            <w:tcW w:w="152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T_FEE_CALCULATION</w:t>
            </w:r>
          </w:p>
        </w:tc>
        <w:tc>
          <w:tcPr>
            <w:tcW w:w="18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交易信息表</w:t>
            </w:r>
          </w:p>
        </w:tc>
        <w:tc>
          <w:tcPr>
            <w:tcW w:w="17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TRADE_NO</w:t>
            </w:r>
          </w:p>
        </w:tc>
        <w:tc>
          <w:tcPr>
            <w:tcW w:w="18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流水号</w:t>
            </w:r>
          </w:p>
        </w:tc>
        <w:tc>
          <w:tcPr>
            <w:tcW w:w="188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(B1-1)消费数据</w:t>
            </w:r>
          </w:p>
        </w:tc>
        <w:tc>
          <w:tcPr>
            <w:tcW w:w="186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jc w:val="center"/>
              <w:rPr>
                <w:sz w:val="16"/>
                <w:szCs w:val="13"/>
              </w:rPr>
            </w:pPr>
            <w:r>
              <w:rPr>
                <w:sz w:val="18"/>
                <w:szCs w:val="18"/>
              </w:rPr>
              <w:t>L2-低敏感数据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6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52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7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88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94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1860" w:type="dxa"/>
            <w:tcBorders>
              <w:top w:val="outset" w:color="auto" w:sz="8" w:space="0"/>
              <w:left w:val="outset" w:color="auto" w:sz="8" w:space="0"/>
              <w:bottom w:val="outset" w:color="auto" w:sz="8" w:space="0"/>
              <w:right w:val="outset" w:color="auto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center"/>
        <w:rPr>
          <w:rFonts w:hint="eastAsia" w:eastAsia="Arial"/>
          <w:sz w:val="20"/>
          <w:szCs w:val="16"/>
          <w:lang w:eastAsia="zh-Hans"/>
        </w:rPr>
      </w:pPr>
      <w:r>
        <w:rPr>
          <w:rFonts w:hint="eastAsia"/>
          <w:sz w:val="22"/>
          <w:szCs w:val="22"/>
          <w:lang w:eastAsia="zh-Hans"/>
        </w:rPr>
        <w:t>（</w:t>
      </w:r>
      <w:r>
        <w:rPr>
          <w:sz w:val="22"/>
          <w:szCs w:val="22"/>
        </w:rPr>
        <w:t>数据分类分级结果样例</w:t>
      </w:r>
      <w:r>
        <w:rPr>
          <w:rFonts w:hint="eastAsia"/>
          <w:sz w:val="22"/>
          <w:szCs w:val="22"/>
          <w:lang w:eastAsia="zh-Hans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Style w:val="8"/>
          <w:rFonts w:hint="default"/>
          <w:b/>
          <w:bCs/>
          <w:sz w:val="36"/>
          <w:szCs w:val="36"/>
        </w:rPr>
        <w:t>4</w:t>
      </w:r>
      <w:r>
        <w:rPr>
          <w:rStyle w:val="8"/>
          <w:rFonts w:hint="eastAsia"/>
          <w:b/>
          <w:bCs/>
          <w:sz w:val="36"/>
          <w:szCs w:val="36"/>
          <w:lang w:eastAsia="zh-Hans"/>
        </w:rPr>
        <w:t>.</w:t>
      </w:r>
      <w:r>
        <w:rPr>
          <w:rStyle w:val="8"/>
          <w:rFonts w:hint="default"/>
          <w:b/>
          <w:bCs/>
          <w:sz w:val="36"/>
          <w:szCs w:val="36"/>
          <w:lang w:eastAsia="zh-Hans"/>
        </w:rPr>
        <w:t xml:space="preserve">1 </w:t>
      </w:r>
      <w:r>
        <w:rPr>
          <w:rStyle w:val="8"/>
          <w:b/>
          <w:bCs/>
          <w:sz w:val="36"/>
          <w:szCs w:val="36"/>
        </w:rPr>
        <w:t>数据分类分级安全治理技术</w:t>
      </w:r>
    </w:p>
    <w:p>
      <w:pPr>
        <w:pStyle w:val="5"/>
        <w:keepNext w:val="0"/>
        <w:keepLines w:val="0"/>
        <w:widowControl/>
        <w:suppressLineNumbers w:val="0"/>
        <w:jc w:val="left"/>
        <w:rPr>
          <w:rFonts w:hint="default" w:eastAsia="Arial"/>
          <w:lang w:val="en-US" w:eastAsia="zh-Hans"/>
        </w:rPr>
      </w:pPr>
      <w:r>
        <w:rPr>
          <w:rFonts w:hint="default" w:ascii="Arial Bold" w:hAnsi="Arial Bold" w:cs="Arial Bold"/>
          <w:b/>
          <w:bCs/>
          <w:sz w:val="36"/>
          <w:szCs w:val="36"/>
        </w:rPr>
        <w:t xml:space="preserve">4.1.1 </w:t>
      </w:r>
      <w:r>
        <w:rPr>
          <w:sz w:val="36"/>
          <w:szCs w:val="36"/>
        </w:rPr>
        <w:t>简要描述数据治理各系统模块</w:t>
      </w:r>
      <w:r>
        <w:rPr>
          <w:rFonts w:hint="eastAsia"/>
          <w:sz w:val="36"/>
          <w:szCs w:val="36"/>
          <w:lang w:val="en-US" w:eastAsia="zh-Hans"/>
        </w:rPr>
        <w:t>当前架构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647690" cy="2837815"/>
            <wp:effectExtent l="0" t="0" r="16510" b="6985"/>
            <wp:docPr id="60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2837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center"/>
        <w:rPr>
          <w:sz w:val="32"/>
          <w:szCs w:val="32"/>
        </w:rPr>
      </w:pPr>
      <w:r>
        <w:rPr>
          <w:sz w:val="32"/>
          <w:szCs w:val="32"/>
        </w:rPr>
        <w:t>（ 系统架构</w:t>
      </w:r>
      <w:r>
        <w:rPr>
          <w:rFonts w:hint="eastAsia"/>
          <w:sz w:val="32"/>
          <w:szCs w:val="32"/>
          <w:lang w:val="en-US" w:eastAsia="zh-Hans"/>
        </w:rPr>
        <w:t>现状</w:t>
      </w:r>
      <w:r>
        <w:rPr>
          <w:sz w:val="32"/>
          <w:szCs w:val="32"/>
        </w:rPr>
        <w:t>图）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Style w:val="8"/>
          <w:rFonts w:hint="default"/>
          <w:b/>
          <w:bCs/>
          <w:sz w:val="36"/>
          <w:szCs w:val="36"/>
        </w:rPr>
        <w:t xml:space="preserve">4.2 </w:t>
      </w:r>
      <w:r>
        <w:rPr>
          <w:rStyle w:val="8"/>
          <w:b/>
          <w:bCs/>
          <w:sz w:val="36"/>
          <w:szCs w:val="36"/>
        </w:rPr>
        <w:t>审批流打通技术</w:t>
      </w:r>
      <w:r>
        <w:rPr>
          <w:rStyle w:val="8"/>
          <w:rFonts w:hint="eastAsia"/>
          <w:b/>
          <w:bCs/>
          <w:sz w:val="36"/>
          <w:szCs w:val="36"/>
          <w:lang w:val="en-US" w:eastAsia="zh-Hans"/>
        </w:rPr>
        <w:t>规划</w:t>
      </w:r>
      <w:r>
        <w:rPr>
          <w:rStyle w:val="8"/>
          <w:b/>
          <w:bCs/>
          <w:sz w:val="36"/>
          <w:szCs w:val="36"/>
        </w:rPr>
        <w:t>方案：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Style w:val="8"/>
          <w:rFonts w:hint="default"/>
          <w:b/>
          <w:bCs/>
          <w:sz w:val="36"/>
          <w:szCs w:val="36"/>
        </w:rPr>
        <w:t xml:space="preserve">4.2.1 </w:t>
      </w:r>
      <w:r>
        <w:rPr>
          <w:rStyle w:val="8"/>
          <w:b/>
          <w:bCs/>
          <w:sz w:val="36"/>
          <w:szCs w:val="36"/>
        </w:rPr>
        <w:t>审批发起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sz w:val="32"/>
          <w:szCs w:val="32"/>
        </w:rPr>
        <w:t>（现有审批系统/工具发起审批界面，选择数据使用场景/用途，数据量级，输入SQL语句、字段名称、数据类型或表名）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891530" cy="2909570"/>
            <wp:effectExtent l="0" t="0" r="1270" b="11430"/>
            <wp:docPr id="5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909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center"/>
      </w:pPr>
      <w:r>
        <w:rPr>
          <w:sz w:val="32"/>
          <w:szCs w:val="32"/>
        </w:rPr>
        <w:t>示意界面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Style w:val="8"/>
          <w:rFonts w:hint="default"/>
          <w:b/>
          <w:bCs/>
          <w:sz w:val="36"/>
          <w:szCs w:val="36"/>
        </w:rPr>
        <w:t xml:space="preserve">4.2.2 </w:t>
      </w:r>
      <w:r>
        <w:rPr>
          <w:rStyle w:val="8"/>
          <w:b/>
          <w:bCs/>
          <w:sz w:val="36"/>
          <w:szCs w:val="36"/>
        </w:rPr>
        <w:t>获取分类分级信息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sz w:val="32"/>
          <w:szCs w:val="32"/>
        </w:rPr>
        <w:t>（通过调用数据分级分类管理系统API，返回分类类别、敏感等级，并在审批环节进行结构化展示，依据数据不同类别、不同级别进行差异化审批。）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6100445" cy="3318510"/>
            <wp:effectExtent l="0" t="0" r="20955" b="8890"/>
            <wp:docPr id="5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331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Style w:val="8"/>
          <w:rFonts w:hint="default"/>
          <w:b/>
          <w:bCs/>
          <w:sz w:val="36"/>
          <w:szCs w:val="36"/>
        </w:rPr>
        <w:t xml:space="preserve">4.2.3 </w:t>
      </w:r>
      <w:r>
        <w:rPr>
          <w:rStyle w:val="8"/>
          <w:b/>
          <w:bCs/>
          <w:sz w:val="36"/>
          <w:szCs w:val="36"/>
        </w:rPr>
        <w:t>数据使用监督（可选）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t>（审批通过后自动通知执行监督人进行监督，并在线提交监督记录）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871845" cy="3013710"/>
            <wp:effectExtent l="0" t="0" r="20955" b="8890"/>
            <wp:docPr id="5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" descr="IMG_2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013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center"/>
      </w:pPr>
      <w:r>
        <w:t>审批通过后，通知监督人 界面示意</w:t>
      </w:r>
    </w:p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8"/>
          <w:rFonts w:hint="default"/>
          <w:b/>
          <w:bCs/>
        </w:rPr>
        <w:t xml:space="preserve">5 </w:t>
      </w:r>
      <w:r>
        <w:rPr>
          <w:rStyle w:val="8"/>
          <w:b/>
          <w:bCs/>
        </w:rPr>
        <w:t>数据操作审批联动（可选）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Fonts w:hint="default"/>
          <w:sz w:val="32"/>
          <w:szCs w:val="32"/>
        </w:rPr>
        <w:t xml:space="preserve">5.1 </w:t>
      </w:r>
      <w:r>
        <w:rPr>
          <w:sz w:val="32"/>
          <w:szCs w:val="32"/>
        </w:rPr>
        <w:t>（需求方创建数据操作工单并提交，审批系统从数据分类分级管理系统获取SQL语句中涉及的字段分类、敏感级别并做结构化展示。）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458460" cy="3058795"/>
            <wp:effectExtent l="0" t="0" r="2540" b="14605"/>
            <wp:docPr id="6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 descr="IMG_2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3058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t>界面示意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Fonts w:hint="default"/>
          <w:sz w:val="32"/>
          <w:szCs w:val="32"/>
        </w:rPr>
        <w:t xml:space="preserve">5.2 </w:t>
      </w:r>
      <w:r>
        <w:rPr>
          <w:sz w:val="32"/>
          <w:szCs w:val="32"/>
        </w:rPr>
        <w:t>（经由需求方负责人审批后，根据涉及的字段或表的分级信息，系统自动流转至安全与合规部审批节点。）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66690" cy="2886075"/>
            <wp:effectExtent l="0" t="0" r="16510" b="9525"/>
            <wp:docPr id="5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7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t>界面示意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rFonts w:hint="default"/>
          <w:sz w:val="32"/>
          <w:szCs w:val="32"/>
        </w:rPr>
        <w:t>5.3</w:t>
      </w:r>
      <w:r>
        <w:rPr>
          <w:sz w:val="32"/>
          <w:szCs w:val="32"/>
        </w:rPr>
        <w:t>（安全合规部完成审核后经由DBA审核，DBA审核完成后自动提交执行，工单关闭）</w:t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673090" cy="3183255"/>
            <wp:effectExtent l="0" t="0" r="16510" b="17145"/>
            <wp:docPr id="5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IMG_2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t>界面示意</w:t>
      </w:r>
    </w:p>
    <w:p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8"/>
          <w:rFonts w:hint="default"/>
          <w:b/>
          <w:bCs/>
        </w:rPr>
        <w:t xml:space="preserve">6 </w:t>
      </w:r>
      <w:r>
        <w:rPr>
          <w:rStyle w:val="8"/>
          <w:b/>
          <w:bCs/>
        </w:rPr>
        <w:t>数据差异化保护推进规划（如有）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sz w:val="32"/>
          <w:szCs w:val="32"/>
        </w:rPr>
        <w:t>示例：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8"/>
          <w:b/>
          <w:bCs/>
          <w:sz w:val="32"/>
          <w:szCs w:val="32"/>
        </w:rPr>
        <w:t>体系建设：</w:t>
      </w:r>
      <w:r>
        <w:rPr>
          <w:sz w:val="32"/>
          <w:szCs w:val="32"/>
        </w:rPr>
        <w:t>在数据安全管理体系建设层面，依据XXXX实际情况，建立并持续完善数据安全管理制度体系、管控流程和策略，从数据全生命周期及数据资产分布流向制定针对性管控措施，与XXXX已有的信息安全体系制度进行融合，规范XXXX数据安全管理体系运作的基线和评价标准，为XXXX的数据安全工作开展及技术能力建设提供依据。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8"/>
          <w:b/>
          <w:bCs/>
          <w:sz w:val="32"/>
          <w:szCs w:val="32"/>
        </w:rPr>
        <w:t>技术能力建设：</w:t>
      </w:r>
      <w:r>
        <w:rPr>
          <w:sz w:val="32"/>
          <w:szCs w:val="32"/>
        </w:rPr>
        <w:t>在数据安全技术能力建设层面，XXXX以数据分类分级管理系统为底座，持续将数据防泄露、数据加密、数据库审计等单点能力形成体系化数据安全技术能力。</w:t>
      </w:r>
    </w:p>
    <w:p>
      <w:pPr>
        <w:pStyle w:val="5"/>
        <w:keepNext w:val="0"/>
        <w:keepLines w:val="0"/>
        <w:widowControl/>
        <w:suppressLineNumbers w:val="0"/>
        <w:pBdr>
          <w:left w:val="none" w:color="auto" w:sz="0" w:space="0"/>
        </w:pBdr>
        <w:jc w:val="left"/>
      </w:pPr>
      <w:r>
        <w:rPr>
          <w:rStyle w:val="8"/>
          <w:b/>
          <w:bCs/>
          <w:sz w:val="32"/>
          <w:szCs w:val="32"/>
        </w:rPr>
        <w:t>安全运营:</w:t>
      </w:r>
      <w:r>
        <w:rPr>
          <w:sz w:val="32"/>
          <w:szCs w:val="32"/>
        </w:rPr>
        <w:t>数据安全治理是一场持久战，XXXX开展常态化数据安全运营，包括管理运营和技术运营。管理运营从数据安全培训、数据安全动态评估、数据安全审计、监督考核、应急响应等方面持续开展，技术运营持续开展风险监测，研判分析处置。通过数据接口、数据库及应用系统操作风险监测、日志分析、水印技术等能力联动，依托内部安全运营中心平台将多维度信息聚合分析，实现数据安全事件溯源，态势可见可控的目标。</w:t>
      </w:r>
    </w:p>
    <w:p>
      <w:pPr>
        <w:spacing w:before="67" w:line="236" w:lineRule="auto"/>
        <w:ind w:left="341" w:right="13" w:firstLine="4"/>
        <w:rPr>
          <w:rFonts w:ascii="微软雅黑" w:hAnsi="微软雅黑" w:eastAsia="微软雅黑" w:cs="微软雅黑"/>
          <w:sz w:val="24"/>
          <w:szCs w:val="24"/>
        </w:rPr>
      </w:pPr>
      <w:bookmarkStart w:id="0" w:name="_GoBack"/>
      <w:bookmarkEnd w:id="0"/>
    </w:p>
    <w:sectPr>
      <w:footerReference r:id="rId5" w:type="default"/>
      <w:pgSz w:w="11981" w:h="15840"/>
      <w:pgMar w:top="1094" w:right="1026" w:bottom="400" w:left="10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ZThmNjAzMWJlZjFkMmQwODUwMTJkYzE2ODFiYmFmYTcifQ=="/>
  </w:docVars>
  <w:rsids>
    <w:rsidRoot w:val="00000000"/>
    <w:rsid w:val="16FF3A95"/>
    <w:rsid w:val="21751C88"/>
    <w:rsid w:val="5EE7C604"/>
    <w:rsid w:val="7EE7C6ED"/>
    <w:rsid w:val="7F397C5F"/>
    <w:rsid w:val="7FDB6511"/>
    <w:rsid w:val="7FFFBF35"/>
    <w:rsid w:val="9F7FAE00"/>
    <w:rsid w:val="DEF562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270</TotalTime>
  <ScaleCrop>false</ScaleCrop>
  <LinksUpToDate>false</LinksUpToDate>
  <Application>WPS Office_11.1.0.14177_F1E327BC-269C-435d-A152-05C5408002CA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2022-11-15T11:31:00Z</dcterms:created>
  <dc:creator>Data</dc:creator>
  <cp:lastModifiedBy>温帅</cp:lastModifiedBy>
  <dcterms:modified xsi:type="dcterms:W3CDTF">2023-06-28T08:48:09Z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2022-11-14T11:32:51Z</vt:filetime>
  </property>
  <property fmtid="{D5CDD505-2E9C-101B-9397-08002B2CF9AE}" pid="4" name="KSOProductBuildVer">
    <vt:lpwstr>2052-11.1.0.14177</vt:lpwstr>
  </property>
  <property fmtid="{D5CDD505-2E9C-101B-9397-08002B2CF9AE}" pid="5" name="ICV">
    <vt:lpwstr>92E743EFC5A35E1505E4B363D7347A7B</vt:lpwstr>
  </property>
</Properties>
</file>