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产品季度报告 Q3 2026</w:t>
      </w:r>
    </w:p>
    <w:p>
      <w:r>
        <w:t>本报告总结了第三季度各产品线的销售表现与市场动态。</w:t>
      </w:r>
    </w:p>
    <w:p>
      <w:r>
        <w:t>销售要点如下：</w:t>
      </w:r>
    </w:p>
    <w:p>
      <w:pPr>
        <w:pStyle w:val="ListNumber"/>
      </w:pPr>
      <w:r>
        <w:t>1. 华东区销售额同比增长 23%，超出预期。</w:t>
      </w:r>
    </w:p>
    <w:p>
      <w:pPr>
        <w:pStyle w:val="ListNumber"/>
      </w:pPr>
      <w:r>
        <w:t>2. 新发布的企业版在金融行业获得显著增长。</w:t>
      </w:r>
    </w:p>
    <w:p>
      <w:pPr>
        <w:pStyle w:val="ListNumber"/>
      </w:pPr>
      <w:r>
        <w:t>3. 客服满意度从 4.1 分提升至 4.5 分（满分 5 分）。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产品线</w:t>
            </w:r>
          </w:p>
        </w:tc>
        <w:tc>
          <w:tcPr>
            <w:tcW w:type="dxa" w:w="2880"/>
          </w:tcPr>
          <w:p>
            <w:r>
              <w:t>Q3 销售额</w:t>
            </w:r>
          </w:p>
        </w:tc>
        <w:tc>
          <w:tcPr>
            <w:tcW w:type="dxa" w:w="2880"/>
          </w:tcPr>
          <w:p>
            <w:r>
              <w:t>同比</w:t>
            </w:r>
          </w:p>
        </w:tc>
      </w:tr>
      <w:tr>
        <w:tc>
          <w:tcPr>
            <w:tcW w:type="dxa" w:w="2880"/>
          </w:tcPr>
          <w:p>
            <w:r>
              <w:t>企业版</w:t>
            </w:r>
          </w:p>
        </w:tc>
        <w:tc>
          <w:tcPr>
            <w:tcW w:type="dxa" w:w="2880"/>
          </w:tcPr>
          <w:p>
            <w:r>
              <w:t>¥1,280 万</w:t>
            </w:r>
          </w:p>
        </w:tc>
        <w:tc>
          <w:tcPr>
            <w:tcW w:type="dxa" w:w="2880"/>
          </w:tcPr>
          <w:p>
            <w:r>
              <w:t>+23%</w:t>
            </w:r>
          </w:p>
        </w:tc>
      </w:tr>
      <w:tr>
        <w:tc>
          <w:tcPr>
            <w:tcW w:type="dxa" w:w="2880"/>
          </w:tcPr>
          <w:p>
            <w:r>
              <w:t>标准版</w:t>
            </w:r>
          </w:p>
        </w:tc>
        <w:tc>
          <w:tcPr>
            <w:tcW w:type="dxa" w:w="2880"/>
          </w:tcPr>
          <w:p>
            <w:r>
              <w:t>¥860 万</w:t>
            </w:r>
          </w:p>
        </w:tc>
        <w:tc>
          <w:tcPr>
            <w:tcW w:type="dxa" w:w="2880"/>
          </w:tcPr>
          <w:p>
            <w:r>
              <w:t>+8%</w:t>
            </w:r>
          </w:p>
        </w:tc>
      </w:tr>
    </w:tbl>
    <w:p/>
    <w:p>
      <w:r>
        <w:t>下一步：</w:t>
      </w:r>
      <w:r>
        <w:rPr>
          <w:b/>
        </w:rPr>
        <w:t>加大华东区投入，并在 Q4 发布移动端适配版本。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