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作文一depicts换一个简单直白一点的</w:t>
      </w:r>
    </w:p>
    <w:p>
      <w:r>
        <w:pict>
          <v:rect style="width:0;height:1.5pt" o:hralign="center" o:hrstd="t" o:hr="t"/>
        </w:pict>
      </w:r>
    </w:p>
    <w:p>
      <w:pPr>
        <w:pStyle w:val="FirstParagraph"/>
      </w:pPr>
      <w:r>
        <w:rPr>
          <w:b/>
          <w:bCs/>
        </w:rPr>
        <w:t xml:space="preserve">Kimi:</w:t>
      </w:r>
    </w:p>
    <w:bookmarkStart w:id="24" w:name="版本一6.5分水平含少量错误"/>
    <w:p>
      <w:pPr>
        <w:pStyle w:val="2"/>
      </w:pPr>
      <w:r>
        <w:t xml:space="preserve">版本一：6.5分水平（含少量错误）</w:t>
      </w:r>
    </w:p>
    <w:p>
      <w:r>
        <w:pict>
          <v:rect style="width:0;height:1.5pt" o:hralign="center" o:hrstd="t" o:hr="t"/>
        </w:pict>
      </w:r>
    </w:p>
    <w:bookmarkStart w:id="20" w:name="作文-1museum-visitors"/>
    <w:p>
      <w:pPr>
        <w:pStyle w:val="3"/>
      </w:pPr>
      <w:r>
        <w:t xml:space="preserve">作文 1：Museum Visitors</w:t>
      </w:r>
    </w:p>
    <w:p>
      <w:pPr>
        <w:pStyle w:val="FirstParagraph"/>
      </w:pPr>
      <w:r>
        <w:t xml:space="preserve">The line graph shows visitor numbers at four international museums from 1980 to 2015.</w:t>
      </w:r>
    </w:p>
    <w:p>
      <w:pPr>
        <w:pStyle w:val="a0"/>
      </w:pPr>
      <w:r>
        <w:t xml:space="preserve">Overall, there was a decrease in the National Museum of Anthropology, while an increase could be seen in other museums with the exception of Hermitage. In addition, the first place was taken by Egyptian Museum over the period.</w:t>
      </w:r>
    </w:p>
    <w:p>
      <w:pPr>
        <w:pStyle w:val="a0"/>
      </w:pPr>
      <w:r>
        <w:t xml:space="preserve">In detail, the Egyptian Museum started at approximately 7,800 visitors in 1980 and reached its peak at around 9,200 in 1995, before experiencing a slight drop to about 8,500 in 2000. However, it recovered and ended at roughly 9,500 in 2015. Similarly, the Tokyo National Museum witnessed a marked rise from just under 5,000 to approximately 9,500 over the same period, eventually catching up with the Egyptian Museum. By contrast, the National Museum of Anthropology showed an opposite trend, decreasing steadily from about 4,200 to only 2,300. Regarding the Hermitage, it hit the lowest point at around 3,200 between 1995 and 2000, but then saw a gradual recovery to roughly 4,000 by 2015. It is worth noting that in 2015, the Egyptian Museum and the Tokyo National Museum shared a similar figure at about 9,500 each.</w:t>
      </w:r>
    </w:p>
    <w:p>
      <w:r>
        <w:pict>
          <v:rect style="width:0;height:1.5pt" o:hralign="center" o:hrstd="t" o:hr="t"/>
        </w:pict>
      </w:r>
    </w:p>
    <w:bookmarkEnd w:id="20"/>
    <w:bookmarkStart w:id="21" w:name="作文-2seoul-entertainment-spending"/>
    <w:p>
      <w:pPr>
        <w:pStyle w:val="3"/>
      </w:pPr>
      <w:r>
        <w:t xml:space="preserve">作文 2：Seoul Entertainment Spending</w:t>
      </w:r>
    </w:p>
    <w:p>
      <w:pPr>
        <w:pStyle w:val="FirstParagraph"/>
      </w:pPr>
      <w:r>
        <w:t xml:space="preserve">The bar chart compares expenditure on cinema, restaurants and music concerts among four age groups in Seoul in 2014.</w:t>
      </w:r>
    </w:p>
    <w:p>
      <w:pPr>
        <w:pStyle w:val="a0"/>
      </w:pPr>
      <w:r>
        <w:t xml:space="preserve">Overall, people spent the most money on restaurants, while cinema and music concerts was less popular. In addition, the 40-55 age group spent the most on entertainment.</w:t>
      </w:r>
    </w:p>
    <w:p>
      <w:pPr>
        <w:pStyle w:val="a0"/>
      </w:pPr>
      <w:r>
        <w:t xml:space="preserve">In detail, regarding restaurants, the 40-55 age group spent the highest amount at approximately 22 million dollars. The figure for the 26-39 group was lower, at around 18 million, while the 56-80 and 18-25 groups spent about 16 and 13 million respectively. As for cinema, the 26-39 age group spent the most, at roughly 12.5 million, which was slightly higher than the 18-25 and 40-55 groups, both at about 10 million. The lowest spending on cinema was seen in the 56-80 group, at only 9 million. Moving on to music concerts, the 18-25 group spent the most, at approximately 14 million. By contrast, the spending of the 40-55 and 56-80 groups was much lower, at around 7 and 6.5 million respectively. It is worth mentioning that the gap between the highest and lowest spending on music concerts was the largest among the three categories.</w:t>
      </w:r>
    </w:p>
    <w:p>
      <w:r>
        <w:pict>
          <v:rect style="width:0;height:1.5pt" o:hralign="center" o:hrstd="t" o:hr="t"/>
        </w:pict>
      </w:r>
    </w:p>
    <w:bookmarkEnd w:id="21"/>
    <w:bookmarkStart w:id="22" w:name="作文-3holiday-leisure-activities"/>
    <w:p>
      <w:pPr>
        <w:pStyle w:val="3"/>
      </w:pPr>
      <w:r>
        <w:t xml:space="preserve">作文 3：Holiday Leisure Activities</w:t>
      </w:r>
    </w:p>
    <w:p>
      <w:pPr>
        <w:pStyle w:val="FirstParagraph"/>
      </w:pPr>
      <w:r>
        <w:t xml:space="preserve">The bar chart shows daily hours spent on leisure activities by tourists from China, the United States, Turkey and Brazil in Greece in August 2015.</w:t>
      </w:r>
    </w:p>
    <w:p>
      <w:pPr>
        <w:pStyle w:val="a0"/>
      </w:pPr>
      <w:r>
        <w:t xml:space="preserve">Overall, reading books was the most popular activity among Chinese tourists, while Brazilian tourists spent the most time at the beach. In addition, visiting places was the least popular activity for most tourists.</w:t>
      </w:r>
    </w:p>
    <w:p>
      <w:pPr>
        <w:pStyle w:val="a0"/>
      </w:pPr>
      <w:r>
        <w:t xml:space="preserve">In detail, Chinese tourists spent the most time reading books, at approximately 8 hours per day, which was much higher than other nationalities. They only spent about 3 hours at the beach and 1 hour visiting places. As for American tourists, they spent around 5 hours reading books and 4 hours at the beach, while visiting places accounted for about 3 hours. Moving on to Turkish tourists, they spent the most time at the beach, at roughly 5 hours, followed by reading books at about 4 hours. The figure for visiting places was similar to that of American tourists, at around 3 hours. By contrast, Brazilian tourists showed a different pattern, spending the most time at the beach, at approximately 6 hours. They spent about 4 hours reading books and only 2 hours visiting places. It is noticeable that visiting places was the least popular among Chinese tourists.</w:t>
      </w:r>
    </w:p>
    <w:p>
      <w:r>
        <w:pict>
          <v:rect style="width:0;height:1.5pt" o:hralign="center" o:hrstd="t" o:hr="t"/>
        </w:pict>
      </w:r>
    </w:p>
    <w:bookmarkEnd w:id="22"/>
    <w:bookmarkStart w:id="23" w:name="作文-4daily-oil-production"/>
    <w:p>
      <w:pPr>
        <w:pStyle w:val="3"/>
      </w:pPr>
      <w:r>
        <w:t xml:space="preserve">作文 4：Daily Oil Production</w:t>
      </w:r>
    </w:p>
    <w:p>
      <w:pPr>
        <w:pStyle w:val="FirstParagraph"/>
      </w:pPr>
      <w:r>
        <w:t xml:space="preserve">The table outlines daily oil output in four nations from 2000 to 2004.</w:t>
      </w:r>
    </w:p>
    <w:p>
      <w:pPr>
        <w:pStyle w:val="a0"/>
      </w:pPr>
      <w:r>
        <w:t xml:space="preserve">Overall, Congo produced the most oil in 2000, but its production decreased over the period. Nigeria’s production was relatively stable, while Chad and Somalia’s production increased.</w:t>
      </w:r>
    </w:p>
    <w:p>
      <w:pPr>
        <w:pStyle w:val="a0"/>
      </w:pPr>
      <w:r>
        <w:t xml:space="preserve">In detail, Congo was the largest oil producer in 2000, at 275,000 barrels per day. However, this figure dropped steadily to 203,000 in 2004. Similarly, Nigeria’s production also experienced a decline from 205,000 to 190,000 between 2000 and 2002, but then it recovered to 213,000 in 2004. Regarding Chad, there was no oil production in the first three years, but it started producing 8,000 barrels in 2003 and increased dramatically to 50,000 in 2004. As for Somalia, its production rose gradually from 5,000 in 2000 to 21,000 in 2003, before surging to 50,000 in 2004. It is noticeable that Chad and Somalia shared the same production figure in 2004, at 50,000 each. In addition, the gap between Congo and Nigeria was the largest in 2000, at about 70,000 barrels.</w:t>
      </w:r>
    </w:p>
    <w:p>
      <w:r>
        <w:pict>
          <v:rect style="width:0;height:1.5pt" o:hralign="center" o:hrstd="t" o:hr="t"/>
        </w:pict>
      </w:r>
    </w:p>
    <w:bookmarkEnd w:id="23"/>
    <w:bookmarkEnd w:id="24"/>
    <w:bookmarkStart w:id="29" w:name="版本二7.5分水平完美版"/>
    <w:p>
      <w:pPr>
        <w:pStyle w:val="2"/>
      </w:pPr>
      <w:r>
        <w:t xml:space="preserve">版本二：7.5分水平（完美版）</w:t>
      </w:r>
    </w:p>
    <w:p>
      <w:r>
        <w:pict>
          <v:rect style="width:0;height:1.5pt" o:hralign="center" o:hrstd="t" o:hr="t"/>
        </w:pict>
      </w:r>
    </w:p>
    <w:bookmarkStart w:id="25" w:name="作文-1museum-visitors-1"/>
    <w:p>
      <w:pPr>
        <w:pStyle w:val="3"/>
      </w:pPr>
      <w:r>
        <w:t xml:space="preserve">作文 1：Museum Visitors</w:t>
      </w:r>
    </w:p>
    <w:p>
      <w:pPr>
        <w:pStyle w:val="FirstParagraph"/>
      </w:pPr>
      <w:r>
        <w:t xml:space="preserve">The line graph shows visitor numbers at four international museums from 1980 to 2015.</w:t>
      </w:r>
    </w:p>
    <w:p>
      <w:pPr>
        <w:pStyle w:val="a0"/>
      </w:pPr>
      <w:r>
        <w:t xml:space="preserve">Overall, while the Egyptian Museum and the Tokyo National Museum both saw substantial growth in visitor numbers, the National Museum of Anthropology experienced a marked decline. The Hermitage, by contrast, remained relatively stable throughout the period. It is also noticeable that the Tokyo National Museum eventually overtook the Egyptian Museum to become the most visited by 2015.</w:t>
      </w:r>
    </w:p>
    <w:p>
      <w:pPr>
        <w:pStyle w:val="a0"/>
      </w:pPr>
      <w:r>
        <w:t xml:space="preserve">In detail, the Egyptian Museum began with the highest number of visitors, at approximately 7,800 in 1980, and this figure rose to a peak of around 9,200 in 1995. Following a slight dip to about 8,500 in 2000, the number recovered and reached roughly 9,500 by 2015. A similar upward trend was seen in the Tokyo National Museum, which started at just under 5,000 and witnessed a steady increase to approximately 9,500, thereby equalling the Egyptian Museum by the end of the period.</w:t>
      </w:r>
    </w:p>
    <w:p>
      <w:pPr>
        <w:pStyle w:val="a0"/>
      </w:pPr>
      <w:r>
        <w:t xml:space="preserve">Conversely, the National Museum of Anthropology showed an entirely different pattern, with its visitor numbers falling consistently from about 4,200 in 1980 to a low of merely 2,300 in 2015. Meanwhile, the Hermitage experienced a modest decline from roughly 3,800 to 3,200 between 1980 and 1995, after which it levelled off for five years before a gradual recovery to around 4,000 by 2015.</w:t>
      </w:r>
    </w:p>
    <w:p>
      <w:r>
        <w:pict>
          <v:rect style="width:0;height:1.5pt" o:hralign="center" o:hrstd="t" o:hr="t"/>
        </w:pict>
      </w:r>
    </w:p>
    <w:bookmarkEnd w:id="25"/>
    <w:bookmarkStart w:id="26" w:name="作文-2seoul-entertainment-spending-1"/>
    <w:p>
      <w:pPr>
        <w:pStyle w:val="3"/>
      </w:pPr>
      <w:r>
        <w:t xml:space="preserve">作文 2：Seoul Entertainment Spending</w:t>
      </w:r>
    </w:p>
    <w:p>
      <w:pPr>
        <w:pStyle w:val="FirstParagraph"/>
      </w:pPr>
      <w:r>
        <w:t xml:space="preserve">The bar chart compares spending on cinema, dining out and music concerts by residents of four age brackets in Seoul, South Korea, in 2014.</w:t>
      </w:r>
    </w:p>
    <w:p>
      <w:pPr>
        <w:pStyle w:val="a0"/>
      </w:pPr>
      <w:r>
        <w:t xml:space="preserve">Overall, dining out was the most popular form of entertainment across all age groups, whereas attending music concerts generally accounted for the smallest expenditure. It is also noticeable that the 40-55 age group allocated the highest total budget to leisure activities, while spending patterns varied considerably depending on the type of entertainment.</w:t>
      </w:r>
    </w:p>
    <w:p>
      <w:pPr>
        <w:pStyle w:val="a0"/>
      </w:pPr>
      <w:r>
        <w:t xml:space="preserve">In detail, restaurant spending peaked among the 40-55 age group, at approximately $22 million, followed by the 26-39 group at around $18 million. The two remaining groups spent noticeably less, at roughly $16 million and $13 million respectively. A somewhat different pattern was seen in cinema expenditure, where the 26-39 age group spent the most, at about $12.5 million, with the other three groups recording fairly similar figures ranging from $9 million to $10.5 million.</w:t>
      </w:r>
    </w:p>
    <w:p>
      <w:pPr>
        <w:pStyle w:val="a0"/>
      </w:pPr>
      <w:r>
        <w:t xml:space="preserve">Conversely, music concerts attracted the highest spending from the youngest group, at approximately $14 million, which was more than double the amount spent by the 40-55 and 56-80 groups, at around $7 million and $6.5 million respectively. It is worth noting that the 26-39 age group also spent considerably less on concerts, at roughly $12 million, despite being the highest spenders in the other two categories.</w:t>
      </w:r>
    </w:p>
    <w:p>
      <w:r>
        <w:pict>
          <v:rect style="width:0;height:1.5pt" o:hralign="center" o:hrstd="t" o:hr="t"/>
        </w:pict>
      </w:r>
    </w:p>
    <w:bookmarkEnd w:id="26"/>
    <w:bookmarkStart w:id="27" w:name="作文-3holiday-leisure-activities-1"/>
    <w:p>
      <w:pPr>
        <w:pStyle w:val="3"/>
      </w:pPr>
      <w:r>
        <w:t xml:space="preserve">作文 3：Holiday Leisure Activities</w:t>
      </w:r>
    </w:p>
    <w:p>
      <w:pPr>
        <w:pStyle w:val="FirstParagraph"/>
      </w:pPr>
      <w:r>
        <w:t xml:space="preserve">The bar chart shows daily hours devoted to leisure pursuits by holidaymakers from China, the United States, Turkey and Brazil in Greece in August 2015.</w:t>
      </w:r>
    </w:p>
    <w:p>
      <w:pPr>
        <w:pStyle w:val="a0"/>
      </w:pPr>
      <w:r>
        <w:t xml:space="preserve">Overall, there were considerable differences in how tourists from each country chose to spend their time. While Chinese visitors devoted the vast majority of their leisure hours to reading, Brazilian tourists favoured the beach, and American and Turkish visitors showed relatively balanced patterns across the three activities.</w:t>
      </w:r>
    </w:p>
    <w:p>
      <w:pPr>
        <w:pStyle w:val="a0"/>
      </w:pPr>
      <w:r>
        <w:t xml:space="preserve">In detail, Chinese tourists spent by far the most time reading books, at an average of 8 hours per day—approximately twice as much as any other nationality. By stark contrast, they dedicated only around 3 hours to the beach and a mere 1 hour to visiting places, both of which were the lowest figures among the four groups.</w:t>
      </w:r>
    </w:p>
    <w:p>
      <w:pPr>
        <w:pStyle w:val="a0"/>
      </w:pPr>
      <w:r>
        <w:t xml:space="preserve">A markedly different pattern was seen among Brazilian tourists, who spent the longest time at the beach, at roughly 6 hours daily, while allocating about 4 hours to reading and 2.5 hours to sightseeing. Meanwhile, American and Turkish visitors recorded more evenly distributed schedules. Americans spent approximately 5 hours reading, 4 hours at the beach and 3 hours visiting places, whereas Turkish tourists dedicated roughly 5 hours to the beach, 4 hours to reading and a similar 3 hours to visiting places. It is worth noting that visiting places was consistently the least popular activity for all groups except the Americans and Turks, for whom it equalled their respective beach and reading times.</w:t>
      </w:r>
    </w:p>
    <w:p>
      <w:r>
        <w:pict>
          <v:rect style="width:0;height:1.5pt" o:hralign="center" o:hrstd="t" o:hr="t"/>
        </w:pict>
      </w:r>
    </w:p>
    <w:bookmarkEnd w:id="27"/>
    <w:bookmarkStart w:id="28" w:name="作文-4daily-oil-production-1"/>
    <w:p>
      <w:pPr>
        <w:pStyle w:val="3"/>
      </w:pPr>
      <w:r>
        <w:t xml:space="preserve">作文 4：Daily Oil Production</w:t>
      </w:r>
    </w:p>
    <w:p>
      <w:pPr>
        <w:pStyle w:val="FirstParagraph"/>
      </w:pPr>
      <w:r>
        <w:t xml:space="preserve">The table outlines daily crude oil output across four African nations from 2000 to 2004.</w:t>
      </w:r>
    </w:p>
    <w:p>
      <w:pPr>
        <w:pStyle w:val="a0"/>
      </w:pPr>
      <w:r>
        <w:t xml:space="preserve">Overall, while Congo remained the leading producer throughout the period despite a steady decline, Nigeria’s output fluctuated before ending at a similar level. Meanwhile, both Chad and Somalia emerged as new oil producers, with their combined output reaching a notable 100,000 barrels per day by 2004.</w:t>
      </w:r>
    </w:p>
    <w:p>
      <w:pPr>
        <w:pStyle w:val="a0"/>
      </w:pPr>
      <w:r>
        <w:t xml:space="preserve">In detail, Congo began as the dominant producer, at 275,000 barrels per day in 2000, but this figure fell consistently over the subsequent four years to reach 203,000 by 2004—a decrease of 72,000 barrels. Nigeria’s production followed a somewhat different trajectory, declining gradually from 205,000 to a low of 190,000 between 2000 and 2002, after which it recovered sharply to 213,000 in 2004, thereby overtaking Congo as the largest producer.</w:t>
      </w:r>
    </w:p>
    <w:p>
      <w:pPr>
        <w:pStyle w:val="a0"/>
      </w:pPr>
      <w:r>
        <w:t xml:space="preserve">By contrast, Chad had no oil production whatsoever during the first three years, only commencing output in 2003 at 8,000 barrels per day. This figure then surged more than sixfold to 50,000 in 2004. A broadly similar upward trend was seen in Somalia, where production climbed steadily from a modest 5,000 in 2000 to 21,000 in 2003, before experiencing an even more dramatic increase to 50,000 in 2004. It is worth noting that Chad and Somalia shared an identical production figure in 2004, and their combined output equalled roughly one-quarter of Nigeria’s production in the same year.</w:t>
      </w:r>
    </w:p>
    <w:p>
      <w:r>
        <w:pict>
          <v:rect style="width:0;height:1.5pt" o:hralign="center" o:hrstd="t" o:hr="t"/>
        </w:pict>
      </w:r>
    </w:p>
    <w:bookmarkEnd w:id="28"/>
    <w:bookmarkEnd w:id="2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2026-07-15T15:39:06Z</dcterms:created>
  <dcterms:modified xsi:type="dcterms:W3CDTF">2026-07-15T15:39:06Z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ol7eoc86sdei6t2nkg-19f49889-5502-80f4-8000-09d3923fb4e2-20260715153906","ReservedCode1":"","ContentPropagator":"001191110108MACG2KBH8F20000","PropagateID":"d8ol7eoc86sdei6t2nkg-19f49889-5502-80f4-8000-09d3923fb4e2-20260715153906","ReservedCode2":""}</vt:lpwstr>
  </property>
</Properties>
</file>