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政府采购专项审计疑点报告</w:t>
      </w:r>
    </w:p>
    <w:p>
      <w:pPr>
        <w:jc w:val="center"/>
      </w:pPr>
      <w:r>
        <w:t>虚拟测试资料｜仅用于审计工坊功能验证</w:t>
      </w:r>
    </w:p>
    <w:p>
      <w:pPr>
        <w:pStyle w:val="Heading1"/>
      </w:pPr>
      <w:r>
        <w:t>审计范围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单位</w:t>
            </w:r>
          </w:p>
        </w:tc>
        <w:tc>
          <w:tcPr>
            <w:tcW w:type="dxa" w:w="4759"/>
          </w:tcPr>
          <w:p>
            <w:r>
              <w:t>东河县教育局（虚构）</w:t>
            </w:r>
          </w:p>
        </w:tc>
      </w:tr>
      <w:tr>
        <w:tc>
          <w:tcPr>
            <w:tcW w:type="dxa" w:w="4759"/>
          </w:tcPr>
          <w:p>
            <w:r>
              <w:t>期间</w:t>
            </w:r>
          </w:p>
        </w:tc>
        <w:tc>
          <w:tcPr>
            <w:tcW w:type="dxa" w:w="4759"/>
          </w:tcPr>
          <w:p>
            <w:r>
              <w:t>2025-01-01至2025-12-31</w:t>
            </w:r>
          </w:p>
        </w:tc>
      </w:tr>
    </w:tbl>
    <w:p>
      <w:pPr>
        <w:pStyle w:val="Heading1"/>
      </w:pPr>
      <w:r>
        <w:t>系统识别疑点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GP-001 拆分采购疑点</w:t>
            </w:r>
          </w:p>
        </w:tc>
        <w:tc>
          <w:tcPr>
            <w:tcW w:type="dxa" w:w="4759"/>
          </w:tcPr>
          <w:p>
            <w:r>
              <w:t>B1/B2/B3同属信息化提升预算项目，14日内同类家具合同合计182万元</w:t>
            </w:r>
          </w:p>
        </w:tc>
      </w:tr>
      <w:tr>
        <w:tc>
          <w:tcPr>
            <w:tcW w:type="dxa" w:w="4759"/>
          </w:tcPr>
          <w:p>
            <w:r>
              <w:t>GP-002 超比例收取履约保证金</w:t>
            </w:r>
          </w:p>
        </w:tc>
        <w:tc>
          <w:tcPr>
            <w:tcW w:type="dxa" w:w="4759"/>
          </w:tcPr>
          <w:p>
            <w:r>
              <w:t>C合同80万元，履约保证金10万元，占比12.5%</w:t>
            </w:r>
          </w:p>
        </w:tc>
      </w:tr>
      <w:tr>
        <w:tc>
          <w:tcPr>
            <w:tcW w:type="dxa" w:w="4759"/>
          </w:tcPr>
          <w:p>
            <w:r>
              <w:t>GP-003 验收时点异常</w:t>
            </w:r>
          </w:p>
        </w:tc>
        <w:tc>
          <w:tcPr>
            <w:tcW w:type="dxa" w:w="4759"/>
          </w:tcPr>
          <w:p>
            <w:r>
              <w:t>C项目验收日期2025-11-20，早于服务完成日2025-12-31</w:t>
            </w:r>
          </w:p>
        </w:tc>
      </w:tr>
      <w:tr>
        <w:tc>
          <w:tcPr>
            <w:tcW w:type="dxa" w:w="4759"/>
          </w:tcPr>
          <w:p>
            <w:r>
              <w:t>GP-004 票款金额不一致</w:t>
            </w:r>
          </w:p>
        </w:tc>
        <w:tc>
          <w:tcPr>
            <w:tcW w:type="dxa" w:w="4759"/>
          </w:tcPr>
          <w:p>
            <w:r>
              <w:t>C项目发票80万元，实际付款78万元，差额2万元</w:t>
            </w:r>
          </w:p>
        </w:tc>
      </w:tr>
    </w:tbl>
    <w:p>
      <w:pPr>
        <w:pStyle w:val="Heading1"/>
      </w:pPr>
      <w:r>
        <w:t>结论边界</w:t>
      </w:r>
    </w:p>
    <w:p>
      <w:r>
        <w:t>以上均为系统疑点，须由审计人员取得补充证据并履行复核程序后定性。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