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</w:pPr>
    </w:p>
    <w:p>
      <w:pPr>
        <w:spacing w:line="360" w:lineRule="auto"/>
      </w:pPr>
    </w:p>
    <w:p>
      <w:pPr>
        <w:jc w:val="center"/>
      </w:pPr>
      <w:r>
        <w:rPr>
          <w:rFonts w:ascii="Times New Roman" w:hAnsi="Times New Roman" w:eastAsia="宋体"/>
          <w:b/>
          <w:sz w:val="36"/>
        </w:rPr>
        <w:t>示例新材料有限公司</w:t>
      </w:r>
    </w:p>
    <w:p>
      <w:pPr>
        <w:jc w:val="center"/>
      </w:pPr>
      <w:r>
        <w:rPr>
          <w:rFonts w:ascii="Times New Roman" w:hAnsi="Times New Roman" w:eastAsia="宋体"/>
          <w:b/>
          <w:sz w:val="36"/>
        </w:rPr>
        <w:t>应收账款授信1,000万元尽调报告（示例）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jc w:val="center"/>
      </w:pPr>
      <w:r>
        <w:rPr>
          <w:rFonts w:ascii="Times New Roman" w:hAnsi="Times New Roman" w:eastAsia="宋体"/>
          <w:b/>
          <w:sz w:val="36"/>
        </w:rPr>
        <w:t>××公司风控部（请改为贵司部门落款）</w:t>
      </w:r>
    </w:p>
    <w:p>
      <w:pPr>
        <w:spacing w:line="360" w:lineRule="auto"/>
      </w:pPr>
    </w:p>
    <w:p>
      <w:pPr>
        <w:jc w:val="center"/>
      </w:pPr>
      <w:r>
        <w:rPr>
          <w:rFonts w:ascii="Times New Roman" w:hAnsi="Times New Roman" w:eastAsia="宋体"/>
          <w:b/>
          <w:sz w:val="36"/>
        </w:rPr>
        <w:t>2026年10月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宋体"/>
          <w:b/>
          <w:sz w:val="32"/>
        </w:rPr>
        <w:t>目录</w:t>
      </w:r>
    </w:p>
    <w:p>
      <w:r>
        <w:fldChar w:fldCharType="begin"/>
      </w:r>
      <w:r>
        <w:instrText xml:space="preserve">TOC \o "1-2" \h \z \u</w:instrText>
      </w:r>
      <w:r>
        <w:fldChar w:fldCharType="separate"/>
      </w:r>
      <w:r>
        <w:rPr>
          <w:rFonts w:ascii="Times New Roman" w:hAnsi="Times New Roman" w:eastAsia="宋体"/>
        </w:rPr>
        <w:t>（打开Word后：右键此处→更新域，即可自动生成目录及页码）</w:t>
      </w:r>
      <w:r>
        <w:fldChar w:fldCharType="end"/>
      </w:r>
    </w:p>
    <w:p>
      <w:r>
        <w:br w:type="page"/>
      </w:r>
    </w:p>
    <w:p>
      <w:pPr>
        <w:jc w:val="both"/>
        <w:ind w:firstLine="480" w:firstLineChars="200"/>
      </w:pPr>
      <w:r>
        <w:rPr>
          <w:rFonts w:ascii="Times New Roman" w:hAnsi="Times New Roman" w:eastAsia="宋体"/>
          <w:b/>
        </w:rPr>
        <w:t>【项目需求】示例新材料有限公司（以下简称“示例公司”或“公司”）申请应收账款授信1,000万元，用于采购碳酸锂备货。额度按月均采购货值×周转周期测算。本文件为技能演示样例，全部数据均为虚构。</w:t>
      </w:r>
    </w:p>
    <w:p>
      <w:pPr>
        <w:jc w:val="both"/>
        <w:ind w:firstLine="480" w:firstLineChars="200"/>
      </w:pPr>
      <w:r>
        <w:rPr>
          <w:rFonts w:ascii="Times New Roman" w:hAnsi="Times New Roman" w:eastAsia="宋体"/>
          <w:b/>
        </w:rPr>
        <w:t>【基本面】公司成立于2019年3月，注册资本5,000万元（实缴3,000万元），实际控制人张某某持股62%，主营锂电池正极材料销售。2025年末总资产1.86亿元、净资产0.82亿元、资产负债率55.9%；2025年度营收2.31亿元、净利润486万元。核心团队3人具备十年以上行业经验。无失信、被执行记录。</w:t>
      </w:r>
    </w:p>
    <w:p>
      <w:pPr>
        <w:jc w:val="both"/>
        <w:ind w:firstLine="480" w:firstLineChars="200"/>
      </w:pPr>
      <w:r>
        <w:rPr>
          <w:rFonts w:ascii="Times New Roman" w:hAnsi="Times New Roman" w:eastAsia="宋体"/>
          <w:b/>
        </w:rPr>
        <w:t>【重点风险提示】</w:t>
      </w:r>
      <w:r>
        <w:rPr>
          <w:rFonts w:ascii="Times New Roman" w:hAnsi="宋体" w:eastAsia="宋体" w:hint="eastAsia"/>
          <w:b/>
        </w:rPr>
        <w:t>①</w:t>
      </w:r>
      <w:r>
        <w:rPr>
          <w:rFonts w:ascii="Times New Roman" w:hAnsi="Times New Roman" w:eastAsia="宋体"/>
          <w:b/>
        </w:rPr>
        <w:t>碳酸锂价格波动风险——公司盈利与锂价强相关，价格深跌将压缩毛利；应对：授信期内按月跟踪锂价与库存。</w:t>
      </w:r>
      <w:r>
        <w:rPr>
          <w:rFonts w:ascii="Times New Roman" w:hAnsi="宋体" w:eastAsia="宋体" w:hint="eastAsia"/>
          <w:b/>
        </w:rPr>
        <w:t>②</w:t>
      </w:r>
      <w:r>
        <w:rPr>
          <w:rFonts w:ascii="Times New Roman" w:hAnsi="Times New Roman" w:eastAsia="宋体"/>
          <w:b/>
        </w:rPr>
        <w:t>应收账款回收风险——下游客户集中度较高；应对：放账额度与回款进度挂钩、逐月对账。</w:t>
      </w:r>
      <w:r>
        <w:rPr>
          <w:rFonts w:ascii="Times New Roman" w:hAnsi="宋体" w:eastAsia="宋体" w:hint="eastAsia"/>
          <w:b/>
        </w:rPr>
        <w:t>③</w:t>
      </w:r>
      <w:r>
        <w:rPr>
          <w:rFonts w:ascii="Times New Roman" w:hAnsi="Times New Roman" w:eastAsia="宋体"/>
          <w:b/>
        </w:rPr>
        <w:t>存货跌价风险——锂价下行期存货减值压力；应对：要求按季提供存货明细与进销存台账。</w:t>
      </w:r>
    </w:p>
    <w:p>
      <w:pPr>
        <w:jc w:val="both"/>
        <w:ind w:firstLine="480" w:firstLineChars="200"/>
      </w:pPr>
      <w:r>
        <w:rPr>
          <w:rFonts w:ascii="Times New Roman" w:hAnsi="Times New Roman" w:eastAsia="宋体"/>
          <w:b/>
        </w:rPr>
        <w:t>【总体评估与风控措施】公司资信状况良好、经营现金流为正、股东背景清晰，同意授信申请。风控措施：</w:t>
      </w:r>
      <w:r>
        <w:rPr>
          <w:rFonts w:ascii="Times New Roman" w:hAnsi="宋体" w:eastAsia="宋体" w:hint="eastAsia"/>
          <w:b/>
        </w:rPr>
        <w:t>①</w:t>
      </w:r>
      <w:r>
        <w:rPr>
          <w:rFonts w:ascii="Times New Roman" w:hAnsi="Times New Roman" w:eastAsia="宋体"/>
          <w:b/>
        </w:rPr>
        <w:t>受托支付、逐笔对应购销合同；</w:t>
      </w:r>
      <w:r>
        <w:rPr>
          <w:rFonts w:ascii="Times New Roman" w:hAnsi="宋体" w:eastAsia="宋体" w:hint="eastAsia"/>
          <w:b/>
        </w:rPr>
        <w:t>②</w:t>
      </w:r>
      <w:r>
        <w:rPr>
          <w:rFonts w:ascii="Times New Roman" w:hAnsi="Times New Roman" w:eastAsia="宋体"/>
          <w:b/>
        </w:rPr>
        <w:t>应收账款质押并中登登记；</w:t>
      </w:r>
      <w:r>
        <w:rPr>
          <w:rFonts w:ascii="Times New Roman" w:hAnsi="宋体" w:eastAsia="宋体" w:hint="eastAsia"/>
          <w:b/>
        </w:rPr>
        <w:t>③</w:t>
      </w:r>
      <w:r>
        <w:rPr>
          <w:rFonts w:ascii="Times New Roman" w:hAnsi="Times New Roman" w:eastAsia="宋体"/>
          <w:b/>
        </w:rPr>
        <w:t>实控人夫妻连带责任保证；</w:t>
      </w:r>
      <w:r>
        <w:rPr>
          <w:rFonts w:ascii="Times New Roman" w:hAnsi="宋体" w:eastAsia="宋体" w:hint="eastAsia"/>
          <w:b/>
        </w:rPr>
        <w:t>④</w:t>
      </w:r>
      <w:r>
        <w:rPr>
          <w:rFonts w:ascii="Times New Roman" w:hAnsi="Times New Roman" w:eastAsia="宋体"/>
          <w:b/>
        </w:rPr>
        <w:t>按月监控三项资金，触发预警即启动额度复核。</w:t>
      </w:r>
    </w:p>
    <w:p>
      <w:pPr>
        <w:pStyle w:val="Heading1"/>
        <w:outlineLvl w:val="0"/>
      </w:pPr>
      <w:r>
        <w:rPr>
          <w:rFonts w:ascii="Times New Roman" w:hAnsi="Times New Roman" w:eastAsia="宋体"/>
        </w:rPr>
        <w:t>释义</w:t>
      </w:r>
    </w:p>
    <w:p>
      <w:pPr>
        <w:jc w:val="both"/>
        <w:ind w:firstLine="480" w:firstLineChars="200"/>
      </w:pPr>
      <w:r>
        <w:rPr>
          <w:rFonts w:ascii="Times New Roman" w:hAnsi="Times New Roman" w:eastAsia="宋体"/>
        </w:rPr>
        <w:t>在本尽调报告中除非文义另有所指，下列词语或简称具有如下含义：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W w:w="0" w:type="auto"/>
        <w:tblLayout w:type="autofit"/>
        <w:jc w:val="center"/>
        <w:tblBorders>
          <w:top w:val="single" w:sz="12" w:color="000000"/>
          <w:bottom w:val="single" w:sz="18" w:color="000000"/>
          <w:insideH w:val="single" w:sz="4" w:color="000000"/>
          <w:insideV w:val="single" w:sz="4" w:color="000000"/>
          <w:left w:val="none" w:sz="0" w:space="0"/>
          <w:right w:val="none" w:sz="0" w:space="0"/>
        </w:tblBorders>
      </w:tblPr>
      <w:tblGrid>
        <w:gridCol w:w="2771"/>
        <w:gridCol w:w="2771"/>
        <w:gridCol w:w="2771"/>
      </w:tblGrid>
      <w:tr>
        <w:trPr>
          <w:tblHeader w:val="true"/>
        </w:trPr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简称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指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全称或含义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示例公司</w:t>
            </w:r>
          </w:p>
        </w:tc>
        <w:tc>
          <w:tcPr>
            <w:tcW w:type="dxa" w:w="2771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指</w:t>
            </w:r>
          </w:p>
        </w:tc>
        <w:tc>
          <w:tcPr>
            <w:tcW w:type="dxa" w:w="2771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示例新材料有限公司，本次授信申请人（虚构主体）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我司</w:t>
            </w:r>
          </w:p>
        </w:tc>
        <w:tc>
          <w:tcPr>
            <w:tcW w:type="dxa" w:w="2771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指</w:t>
            </w:r>
          </w:p>
        </w:tc>
        <w:tc>
          <w:tcPr>
            <w:tcW w:type="dxa" w:w="2771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授信委托方（示例脱敏，使用时替换为贵司全称）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本次授信</w:t>
            </w:r>
          </w:p>
        </w:tc>
        <w:tc>
          <w:tcPr>
            <w:tcW w:type="dxa" w:w="2771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指</w:t>
            </w:r>
          </w:p>
        </w:tc>
        <w:tc>
          <w:tcPr>
            <w:tcW w:type="dxa" w:w="2771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应收账款授信1,000万元（虚构额度）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最近两年</w:t>
            </w:r>
          </w:p>
        </w:tc>
        <w:tc>
          <w:tcPr>
            <w:tcW w:type="dxa" w:w="2771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指</w:t>
            </w:r>
          </w:p>
        </w:tc>
        <w:tc>
          <w:tcPr>
            <w:tcW w:type="dxa" w:w="2771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2024年度、2025年度（虚构报告期）</w:t>
            </w:r>
          </w:p>
        </w:tc>
      </w:tr>
    </w:tbl>
    <w:p>
      <w:pPr>
        <w:pStyle w:val="Heading1"/>
        <w:outlineLvl w:val="0"/>
      </w:pPr>
      <w:r>
        <w:rPr>
          <w:rFonts w:ascii="Times New Roman" w:hAnsi="Times New Roman" w:eastAsia="宋体"/>
        </w:rPr>
        <w:t>一、项目概况</w:t>
      </w:r>
    </w:p>
    <w:p>
      <w:pPr>
        <w:jc w:val="both"/>
        <w:ind w:firstLine="480" w:firstLineChars="200"/>
        <w:outlineLvl w:val="1"/>
      </w:pPr>
      <w:r>
        <w:rPr>
          <w:rFonts w:ascii="Times New Roman" w:hAnsi="Times New Roman" w:eastAsia="宋体"/>
          <w:b/>
        </w:rPr>
        <w:t>（一）项目需求</w:t>
      </w:r>
    </w:p>
    <w:p>
      <w:pPr>
        <w:jc w:val="both"/>
        <w:ind w:firstLine="480" w:firstLineChars="200"/>
      </w:pPr>
      <w:r>
        <w:rPr>
          <w:rFonts w:ascii="Times New Roman" w:hAnsi="Times New Roman" w:eastAsia="宋体"/>
        </w:rPr>
        <w:t>公司申请应收账款授信1,000万元，期限12个月，用于碳酸锂采购备货。业务模式为公司向上游供应商预付采购、向下游客户赊销后回款，我司为其提供授信支持并锁定应收账款回款路径。额度测算逻辑为：月均采购货值约850万元×周转周期约1.2个月，敞口峰值约1,020万元，按1,000万元核定。</w:t>
      </w:r>
    </w:p>
    <w:p>
      <w:pPr>
        <w:jc w:val="both"/>
        <w:ind w:firstLine="480" w:firstLineChars="200"/>
        <w:outlineLvl w:val="1"/>
      </w:pPr>
      <w:r>
        <w:rPr>
          <w:rFonts w:ascii="Times New Roman" w:hAnsi="Times New Roman" w:eastAsia="宋体"/>
          <w:b/>
        </w:rPr>
        <w:t>（二）额度测算依据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W w:w="0" w:type="auto"/>
        <w:tblLayout w:type="autofit"/>
        <w:jc w:val="center"/>
        <w:tblBorders>
          <w:top w:val="single" w:sz="12" w:color="000000"/>
          <w:bottom w:val="single" w:sz="18" w:color="000000"/>
          <w:insideH w:val="single" w:sz="4" w:color="000000"/>
          <w:insideV w:val="single" w:sz="4" w:color="000000"/>
          <w:left w:val="none" w:sz="0" w:space="0"/>
          <w:right w:val="none" w:sz="0" w:space="0"/>
        </w:tblBorders>
      </w:tblPr>
      <w:tblGrid>
        <w:gridCol w:w="2771"/>
        <w:gridCol w:w="2771"/>
        <w:gridCol w:w="2771"/>
      </w:tblGrid>
      <w:tr>
        <w:trPr>
          <w:tblHeader w:val="true"/>
        </w:trPr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数值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口径说明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月均采购货值</w:t>
            </w:r>
          </w:p>
        </w:tc>
        <w:tc>
          <w:tcPr>
            <w:tcW w:type="dxa" w:w="2771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850万元</w:t>
            </w:r>
          </w:p>
        </w:tc>
        <w:tc>
          <w:tcPr>
            <w:tcW w:type="dxa" w:w="2771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最近12个月采购合同与发票汇总（虚构）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资金周转周期</w:t>
            </w:r>
          </w:p>
        </w:tc>
        <w:tc>
          <w:tcPr>
            <w:tcW w:type="dxa" w:w="2771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1.2个月</w:t>
            </w:r>
          </w:p>
        </w:tc>
        <w:tc>
          <w:tcPr>
            <w:tcW w:type="dxa" w:w="2771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存货周转45天＋应收周转28天－应付周转22天，折算约36天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敞口峰值</w:t>
            </w:r>
          </w:p>
        </w:tc>
        <w:tc>
          <w:tcPr>
            <w:tcW w:type="dxa" w:w="2771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1,020万元</w:t>
            </w:r>
          </w:p>
        </w:tc>
        <w:tc>
          <w:tcPr>
            <w:tcW w:type="dxa" w:w="2771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月均货值×周转周期，未扣保证金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申请额度</w:t>
            </w:r>
          </w:p>
        </w:tc>
        <w:tc>
          <w:tcPr>
            <w:tcW w:type="dxa" w:w="2771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1,000万元</w:t>
            </w:r>
          </w:p>
        </w:tc>
        <w:tc>
          <w:tcPr>
            <w:tcW w:type="dxa" w:w="2771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不超过测算峰值，另加实控人连带保证</w:t>
            </w:r>
          </w:p>
        </w:tc>
      </w:tr>
    </w:tbl>
    <w:p>
      <w:pPr>
        <w:jc w:val="both"/>
        <w:ind w:firstLine="480" w:firstLineChars="200"/>
      </w:pPr>
      <w:r>
        <w:rPr>
          <w:rFonts w:ascii="Times New Roman" w:hAnsi="Times New Roman" w:eastAsia="宋体"/>
          <w:sz w:val="21"/>
        </w:rPr>
        <w:t>备注：</w:t>
      </w:r>
      <w:r>
        <w:rPr>
          <w:rFonts w:ascii="Times New Roman" w:hAnsi="宋体" w:eastAsia="宋体" w:hint="eastAsia"/>
          <w:sz w:val="21"/>
        </w:rPr>
        <w:t>①</w:t>
      </w:r>
      <w:r>
        <w:rPr>
          <w:rFonts w:ascii="Times New Roman" w:hAnsi="Times New Roman" w:eastAsia="宋体"/>
          <w:sz w:val="21"/>
        </w:rPr>
        <w:t>表中数值均为虚构演示数据；</w:t>
      </w:r>
      <w:r>
        <w:rPr>
          <w:rFonts w:ascii="Times New Roman" w:hAnsi="宋体" w:eastAsia="宋体" w:hint="eastAsia"/>
          <w:sz w:val="21"/>
        </w:rPr>
        <w:t>②</w:t>
      </w:r>
      <w:r>
        <w:rPr>
          <w:rFonts w:ascii="Times New Roman" w:hAnsi="Times New Roman" w:eastAsia="宋体"/>
          <w:sz w:val="21"/>
        </w:rPr>
        <w:t>周转周期按平均余额口径测算；</w:t>
      </w:r>
      <w:r>
        <w:rPr>
          <w:rFonts w:ascii="Times New Roman" w:hAnsi="宋体" w:eastAsia="宋体" w:hint="eastAsia"/>
          <w:sz w:val="21"/>
        </w:rPr>
        <w:t>③</w:t>
      </w:r>
      <w:r>
        <w:rPr>
          <w:rFonts w:ascii="Times New Roman" w:hAnsi="Times New Roman" w:eastAsia="宋体"/>
          <w:sz w:val="21"/>
        </w:rPr>
        <w:t>额度峰值与申请额度的差额为安全垫。</w:t>
      </w:r>
    </w:p>
    <w:p>
      <w:pPr>
        <w:pStyle w:val="Heading1"/>
        <w:outlineLvl w:val="0"/>
      </w:pPr>
      <w:r>
        <w:rPr>
          <w:rFonts w:ascii="Times New Roman" w:hAnsi="Times New Roman" w:eastAsia="宋体"/>
        </w:rPr>
        <w:t>二、公司基本情况</w:t>
      </w:r>
    </w:p>
    <w:p>
      <w:pPr>
        <w:jc w:val="both"/>
        <w:ind w:firstLine="480" w:firstLineChars="200"/>
        <w:outlineLvl w:val="1"/>
      </w:pPr>
      <w:r>
        <w:rPr>
          <w:rFonts w:ascii="Times New Roman" w:hAnsi="Times New Roman" w:eastAsia="宋体"/>
          <w:b/>
        </w:rPr>
        <w:t>（一）公司简介</w:t>
      </w:r>
    </w:p>
    <w:p>
      <w:pPr>
        <w:jc w:val="both"/>
        <w:ind w:firstLine="480" w:firstLineChars="200"/>
      </w:pPr>
      <w:r>
        <w:rPr>
          <w:rFonts w:ascii="Times New Roman" w:hAnsi="Times New Roman" w:eastAsia="宋体"/>
        </w:rPr>
        <w:t>公司成立于2019年3月，注册地址示例省示例市高新区，注册资本5,000万元、实缴3,000万元。股权结构：实际控制人张某某持股62%（示例持股）、员工持股平台持股18%、财务投资人持股20%。公司主营锂电池正极材料及配套原料的销售，下游客户为华东地区电芯厂与贸易商。</w:t>
      </w:r>
    </w:p>
    <w:p>
      <w:pPr>
        <w:jc w:val="both"/>
        <w:ind w:firstLine="480" w:firstLineChars="200"/>
        <w:outlineLvl w:val="1"/>
      </w:pPr>
      <w:r>
        <w:rPr>
          <w:rFonts w:ascii="Times New Roman" w:hAnsi="Times New Roman" w:eastAsia="宋体"/>
          <w:b/>
        </w:rPr>
        <w:t>（二）股东及实际控制人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W w:w="0" w:type="auto"/>
        <w:tblLayout w:type="autofit"/>
        <w:jc w:val="center"/>
        <w:tblBorders>
          <w:top w:val="single" w:sz="12" w:color="000000"/>
          <w:bottom w:val="single" w:sz="18" w:color="000000"/>
          <w:insideH w:val="single" w:sz="4" w:color="000000"/>
          <w:insideV w:val="single" w:sz="4" w:color="000000"/>
          <w:left w:val="none" w:sz="0" w:space="0"/>
          <w:right w:val="none" w:sz="0" w:space="0"/>
        </w:tblBorders>
      </w:tblPr>
      <w:tblGrid>
        <w:gridCol w:w="2771"/>
        <w:gridCol w:w="2771"/>
        <w:gridCol w:w="2771"/>
      </w:tblGrid>
      <w:tr>
        <w:trPr>
          <w:tblHeader w:val="true"/>
        </w:trPr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股东名称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持股比例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股东性质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张某某（实际控制人）</w:t>
            </w:r>
          </w:p>
        </w:tc>
        <w:tc>
          <w:tcPr>
            <w:tcW w:type="dxa" w:w="2771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18"/>
              </w:rPr>
              <w:t>62.00%</w:t>
            </w:r>
          </w:p>
        </w:tc>
        <w:tc>
          <w:tcPr>
            <w:tcW w:type="dxa" w:w="2771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自然人，创始人，行业从业15年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示例员工持股平台（有限合伙）</w:t>
            </w:r>
          </w:p>
        </w:tc>
        <w:tc>
          <w:tcPr>
            <w:tcW w:type="dxa" w:w="2771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18"/>
              </w:rPr>
              <w:t>18.00%</w:t>
            </w:r>
          </w:p>
        </w:tc>
        <w:tc>
          <w:tcPr>
            <w:tcW w:type="dxa" w:w="2771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员工激励载体，实控人任执行事务合伙人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示例创投合伙企业（有限合伙）</w:t>
            </w:r>
          </w:p>
        </w:tc>
        <w:tc>
          <w:tcPr>
            <w:tcW w:type="dxa" w:w="2771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18"/>
              </w:rPr>
              <w:t>20.00%</w:t>
            </w:r>
          </w:p>
        </w:tc>
        <w:tc>
          <w:tcPr>
            <w:tcW w:type="dxa" w:w="2771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财务投资人，2023年入股</w:t>
            </w:r>
          </w:p>
        </w:tc>
      </w:tr>
    </w:tbl>
    <w:p>
      <w:pPr>
        <w:jc w:val="both"/>
        <w:ind w:firstLine="480" w:firstLineChars="200"/>
      </w:pPr>
      <w:r>
        <w:rPr>
          <w:rFonts w:ascii="Times New Roman" w:hAnsi="Times New Roman" w:eastAsia="宋体"/>
        </w:rPr>
        <w:t>实际控制人张某某无失信、限高、股权冻结记录；其个人征信概况经授权查询无当前逾期（示例表述）。股东出资已经工商年报核验，实缴出资日期与验资报告一致（示例勾稽链条）。</w:t>
      </w:r>
    </w:p>
    <w:p>
      <w:pPr>
        <w:pStyle w:val="Heading1"/>
        <w:outlineLvl w:val="0"/>
      </w:pPr>
      <w:r>
        <w:rPr>
          <w:rFonts w:ascii="Times New Roman" w:hAnsi="Times New Roman" w:eastAsia="宋体"/>
        </w:rPr>
        <w:t>三、财务状况（虚构数据）</w:t>
      </w:r>
    </w:p>
    <w:p>
      <w:pPr>
        <w:jc w:val="both"/>
        <w:ind w:firstLine="480" w:firstLineChars="200"/>
        <w:outlineLvl w:val="1"/>
      </w:pPr>
      <w:r>
        <w:rPr>
          <w:rFonts w:ascii="Times New Roman" w:hAnsi="Times New Roman" w:eastAsia="宋体"/>
          <w:b/>
        </w:rPr>
        <w:t>（一）资产负债表分析——示例公司</w:t>
      </w:r>
    </w:p>
    <w:p>
      <w:pPr>
        <w:jc w:val="both"/>
        <w:ind w:firstLine="480" w:firstLineChars="200"/>
      </w:pPr>
      <w:r>
        <w:rPr>
          <w:rFonts w:ascii="Times New Roman" w:hAnsi="Times New Roman" w:eastAsia="宋体"/>
        </w:rPr>
        <w:t>资产端：2025年末公司总资产1.86亿元，较上年末增长12.1%，以流动资产为主（占总资产71.4%）。货币资金2,340万元、占总资产12.6%；应收账款4,120万元、较上年末增长18.2%，与营收增速基本匹配；存货5,880万元、较上年末增长9.6%，主要为碳酸锂备货。负债端：总负债1.04亿元，资产负债率55.9%、较上年末下降2.3个百分点，杠杆水平居行业中段。</w:t>
      </w:r>
    </w:p>
    <w:p>
      <w:pPr>
        <w:jc w:val="right"/>
        <w:ind w:firstLine="480" w:firstLineChars="200"/>
      </w:pPr>
      <w:r>
        <w:rPr>
          <w:rFonts w:ascii="Times New Roman" w:hAnsi="Times New Roman" w:eastAsia="宋体"/>
        </w:rPr>
        <w:t>单位：万元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W w:w="0" w:type="auto"/>
        <w:tblLayout w:type="autofit"/>
        <w:jc w:val="center"/>
        <w:tblBorders>
          <w:top w:val="single" w:sz="12" w:color="000000"/>
          <w:bottom w:val="single" w:sz="18" w:color="000000"/>
          <w:insideH w:val="single" w:sz="4" w:color="000000"/>
          <w:insideV w:val="single" w:sz="4" w:color="000000"/>
          <w:left w:val="none" w:sz="0" w:space="0"/>
          <w:right w:val="none" w:sz="0" w:space="0"/>
        </w:tblBorders>
      </w:tblPr>
      <w:tblGrid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2025年末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占比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2024年末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较上年末变动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货币资金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18"/>
              </w:rPr>
              <w:t>2,340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18"/>
              </w:rPr>
              <w:t>12.58%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18"/>
              </w:rPr>
              <w:t>1,980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18"/>
              </w:rPr>
              <w:t>18.18%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应收账款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18"/>
              </w:rPr>
              <w:t>4,120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18"/>
              </w:rPr>
              <w:t>22.15%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18"/>
              </w:rPr>
              <w:t>3,486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18"/>
              </w:rPr>
              <w:t>18.19%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存货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18"/>
              </w:rPr>
              <w:t>5,880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18"/>
              </w:rPr>
              <w:t>31.61%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18"/>
              </w:rPr>
              <w:t>5,365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18"/>
              </w:rPr>
              <w:t>9.60%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流动资产合计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18"/>
              </w:rPr>
              <w:t>13,280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18"/>
              </w:rPr>
              <w:t>71.40%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18"/>
              </w:rPr>
              <w:t>11,640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18"/>
              </w:rPr>
              <w:t>14.09%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固定资产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18"/>
              </w:rPr>
              <w:t>3,950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18"/>
              </w:rPr>
              <w:t>21.24%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18"/>
              </w:rPr>
              <w:t>4,010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18"/>
              </w:rPr>
              <w:t>-1.50%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资产总计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18"/>
              </w:rPr>
              <w:t>18,600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18"/>
              </w:rPr>
              <w:t>100.00%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18"/>
              </w:rPr>
              <w:t>16,590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18"/>
              </w:rPr>
              <w:t>12.11%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短期借款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18"/>
              </w:rPr>
              <w:t>2,600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18"/>
              </w:rPr>
              <w:t>2,850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18"/>
              </w:rPr>
              <w:t>-8.77%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应付账款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18"/>
              </w:rPr>
              <w:t>3,420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18"/>
              </w:rPr>
              <w:t>3,150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18"/>
              </w:rPr>
              <w:t>8.57%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负债合计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18"/>
              </w:rPr>
              <w:t>10,400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18"/>
              </w:rPr>
              <w:t>9,650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18"/>
              </w:rPr>
              <w:t>7.77%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所有者权益合计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18"/>
              </w:rPr>
              <w:t>8,200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18"/>
              </w:rPr>
              <w:t>6,940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18"/>
              </w:rPr>
              <w:t>18.15%</w:t>
            </w:r>
          </w:p>
        </w:tc>
      </w:tr>
    </w:tbl>
    <w:p>
      <w:pPr>
        <w:jc w:val="both"/>
        <w:ind w:firstLine="480" w:firstLineChars="200"/>
      </w:pPr>
      <w:r>
        <w:rPr>
          <w:rFonts w:ascii="Times New Roman" w:hAnsi="Times New Roman" w:eastAsia="宋体"/>
          <w:sz w:val="21"/>
        </w:rPr>
        <w:t>备注：</w:t>
      </w:r>
      <w:r>
        <w:rPr>
          <w:rFonts w:ascii="Times New Roman" w:hAnsi="宋体" w:eastAsia="宋体" w:hint="eastAsia"/>
          <w:sz w:val="21"/>
        </w:rPr>
        <w:t>①</w:t>
      </w:r>
      <w:r>
        <w:rPr>
          <w:rFonts w:ascii="Times New Roman" w:hAnsi="Times New Roman" w:eastAsia="宋体"/>
          <w:sz w:val="21"/>
        </w:rPr>
        <w:t>表中数据均为虚构演示数据，占比=各科目÷资产总计；</w:t>
      </w:r>
      <w:r>
        <w:rPr>
          <w:rFonts w:ascii="Times New Roman" w:hAnsi="宋体" w:eastAsia="宋体" w:hint="eastAsia"/>
          <w:sz w:val="21"/>
        </w:rPr>
        <w:t>②</w:t>
      </w:r>
      <w:r>
        <w:rPr>
          <w:rFonts w:ascii="Times New Roman" w:hAnsi="Times New Roman" w:eastAsia="宋体"/>
          <w:sz w:val="21"/>
        </w:rPr>
        <w:t>勾稽关系：资产总计=负债合计+所有者权益合计，18,600=10,400+8,200，可复算；</w:t>
      </w:r>
      <w:r>
        <w:rPr>
          <w:rFonts w:ascii="Times New Roman" w:hAnsi="宋体" w:eastAsia="宋体" w:hint="eastAsia"/>
          <w:sz w:val="21"/>
        </w:rPr>
        <w:t>③</w:t>
      </w:r>
      <w:r>
        <w:rPr>
          <w:rFonts w:ascii="Times New Roman" w:hAnsi="Times New Roman" w:eastAsia="宋体"/>
          <w:sz w:val="21"/>
        </w:rPr>
        <w:t>本表为节选口径（非全科目列示），分项求和与合计的差额系未列示科目（如无形资产、递延所得税资产等）。</w:t>
      </w:r>
    </w:p>
    <w:p>
      <w:pPr>
        <w:jc w:val="both"/>
        <w:ind w:firstLine="480" w:firstLineChars="200"/>
        <w:outlineLvl w:val="1"/>
      </w:pPr>
      <w:r>
        <w:rPr>
          <w:rFonts w:ascii="Times New Roman" w:hAnsi="Times New Roman" w:eastAsia="宋体"/>
          <w:b/>
        </w:rPr>
        <w:t>（二）利润表分析——示例公司</w:t>
      </w:r>
    </w:p>
    <w:p>
      <w:pPr>
        <w:jc w:val="both"/>
        <w:ind w:firstLine="480" w:firstLineChars="200"/>
      </w:pPr>
      <w:r>
        <w:rPr>
          <w:rFonts w:ascii="Times New Roman" w:hAnsi="Times New Roman" w:eastAsia="宋体"/>
        </w:rPr>
        <w:t>2025年度公司营业收入2.31亿元、较上年下降8.0%，主因锂价中枢下移带动单价回落；毛利率9.8%、较上年提升1.6个百分点，得益于低价库存周转与加工费谈判；净利润486万元、实现扭亏为盈（上年净亏损212万元）。盈利修复与行业周期方向一致。</w:t>
      </w:r>
    </w:p>
    <w:p>
      <w:pPr>
        <w:jc w:val="right"/>
        <w:ind w:firstLine="480" w:firstLineChars="200"/>
      </w:pPr>
      <w:r>
        <w:rPr>
          <w:rFonts w:ascii="Times New Roman" w:hAnsi="Times New Roman" w:eastAsia="宋体"/>
        </w:rPr>
        <w:t>单位：万元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W w:w="0" w:type="auto"/>
        <w:tblLayout w:type="autofit"/>
        <w:jc w:val="center"/>
        <w:tblBorders>
          <w:top w:val="single" w:sz="12" w:color="000000"/>
          <w:bottom w:val="single" w:sz="18" w:color="000000"/>
          <w:insideH w:val="single" w:sz="4" w:color="000000"/>
          <w:insideV w:val="single" w:sz="4" w:color="000000"/>
          <w:left w:val="none" w:sz="0" w:space="0"/>
          <w:right w:val="none" w:sz="0" w:space="0"/>
        </w:tblBorders>
      </w:tblPr>
      <w:tblGrid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2025年度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2024年度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变动比例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营业收入</w:t>
            </w:r>
          </w:p>
        </w:tc>
        <w:tc>
          <w:tcPr>
            <w:tcW w:type="dxa" w:w="2078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18"/>
              </w:rPr>
              <w:t>23,100</w:t>
            </w:r>
          </w:p>
        </w:tc>
        <w:tc>
          <w:tcPr>
            <w:tcW w:type="dxa" w:w="2078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18"/>
              </w:rPr>
              <w:t>25,110</w:t>
            </w:r>
          </w:p>
        </w:tc>
        <w:tc>
          <w:tcPr>
            <w:tcW w:type="dxa" w:w="2078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18"/>
              </w:rPr>
              <w:t>-8.00%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营业成本</w:t>
            </w:r>
          </w:p>
        </w:tc>
        <w:tc>
          <w:tcPr>
            <w:tcW w:type="dxa" w:w="2078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18"/>
              </w:rPr>
              <w:t>20,839</w:t>
            </w:r>
          </w:p>
        </w:tc>
        <w:tc>
          <w:tcPr>
            <w:tcW w:type="dxa" w:w="2078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18"/>
              </w:rPr>
              <w:t>23,377</w:t>
            </w:r>
          </w:p>
        </w:tc>
        <w:tc>
          <w:tcPr>
            <w:tcW w:type="dxa" w:w="2078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18"/>
              </w:rPr>
              <w:t>-10.85%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毛利额</w:t>
            </w:r>
          </w:p>
        </w:tc>
        <w:tc>
          <w:tcPr>
            <w:tcW w:type="dxa" w:w="2078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18"/>
              </w:rPr>
              <w:t>2,261</w:t>
            </w:r>
          </w:p>
        </w:tc>
        <w:tc>
          <w:tcPr>
            <w:tcW w:type="dxa" w:w="2078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18"/>
              </w:rPr>
              <w:t>1,733</w:t>
            </w:r>
          </w:p>
        </w:tc>
        <w:tc>
          <w:tcPr>
            <w:tcW w:type="dxa" w:w="2078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18"/>
              </w:rPr>
              <w:t>30.47%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毛利率</w:t>
            </w:r>
          </w:p>
        </w:tc>
        <w:tc>
          <w:tcPr>
            <w:tcW w:type="dxa" w:w="2078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18"/>
              </w:rPr>
              <w:t>9.79%</w:t>
            </w:r>
          </w:p>
        </w:tc>
        <w:tc>
          <w:tcPr>
            <w:tcW w:type="dxa" w:w="2078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18"/>
              </w:rPr>
              <w:t>6.90%</w:t>
            </w:r>
          </w:p>
        </w:tc>
        <w:tc>
          <w:tcPr>
            <w:tcW w:type="dxa" w:w="207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2.89pct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净利润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486</w:t>
            </w:r>
          </w:p>
        </w:tc>
        <w:tc>
          <w:tcPr>
            <w:tcW w:type="dxa" w:w="2078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18"/>
              </w:rPr>
              <w:t>-212</w:t>
            </w:r>
          </w:p>
        </w:tc>
        <w:tc>
          <w:tcPr>
            <w:tcW w:type="dxa" w:w="207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扭亏为盈</w:t>
            </w:r>
          </w:p>
        </w:tc>
      </w:tr>
    </w:tbl>
    <w:p>
      <w:pPr>
        <w:jc w:val="both"/>
        <w:ind w:firstLine="480" w:firstLineChars="200"/>
      </w:pPr>
      <w:r>
        <w:rPr>
          <w:rFonts w:ascii="Times New Roman" w:hAnsi="Times New Roman" w:eastAsia="宋体"/>
          <w:sz w:val="21"/>
        </w:rPr>
        <w:t>备注：</w:t>
      </w:r>
      <w:r>
        <w:rPr>
          <w:rFonts w:ascii="Times New Roman" w:hAnsi="宋体" w:eastAsia="宋体" w:hint="eastAsia"/>
          <w:sz w:val="21"/>
        </w:rPr>
        <w:t>①</w:t>
      </w:r>
      <w:r>
        <w:rPr>
          <w:rFonts w:ascii="Times New Roman" w:hAnsi="Times New Roman" w:eastAsia="宋体"/>
          <w:sz w:val="21"/>
        </w:rPr>
        <w:t>毛利率=（营业收入-营业成本）÷营业收入；</w:t>
      </w:r>
      <w:r>
        <w:rPr>
          <w:rFonts w:ascii="Times New Roman" w:hAnsi="宋体" w:eastAsia="宋体" w:hint="eastAsia"/>
          <w:sz w:val="21"/>
        </w:rPr>
        <w:t>②</w:t>
      </w:r>
      <w:r>
        <w:rPr>
          <w:rFonts w:ascii="Times New Roman" w:hAnsi="Times New Roman" w:eastAsia="宋体"/>
          <w:sz w:val="21"/>
        </w:rPr>
        <w:t>变动比例按两年可同比口径复算；</w:t>
      </w:r>
      <w:r>
        <w:rPr>
          <w:rFonts w:ascii="Times New Roman" w:hAnsi="宋体" w:eastAsia="宋体" w:hint="eastAsia"/>
          <w:sz w:val="21"/>
        </w:rPr>
        <w:t>③</w:t>
      </w:r>
      <w:r>
        <w:rPr>
          <w:rFonts w:ascii="Times New Roman" w:hAnsi="Times New Roman" w:eastAsia="宋体"/>
          <w:sz w:val="21"/>
        </w:rPr>
        <w:t>数据虚构。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