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示例公司尽调报告格式母版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（本母版仅承载格式样本，不含真实信息；可按贵司定稿报告字体字号定制）</w:t>
      </w:r>
    </w:p>
    <w:p/>
    <w:p>
      <w:pPr>
        <w:pStyle w:val="Heading1"/>
      </w:pPr>
      <w:r>
        <w:rPr>
          <w:rFonts w:ascii="Times New Roman" w:hAnsi="Times New Roman" w:eastAsia="宋体"/>
        </w:rPr>
        <w:t>一、格式样本章节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（一）节标题样本：本段以（一）开头即被识别为h2格式样本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这是正文格式样本段。尽调报告的正文段落使用两端对齐、首行缩进两字符、宋体小四、1.5倍行距，数字与西文使用Times New Roman字体。构建器会克隆本段的段落属性作为全部正文段落的格式来源。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【项目需求】意见区条目格式样本：本段以【开头，被识别为意见区（br）格式样本。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备注：备注段格式样本——数据来源标注、口径说明使用本格式（五号字）。</w:t>
      </w:r>
    </w:p>
    <w:p>
      <w:pPr>
        <w:jc w:val="right"/>
        <w:ind w:firstLine="480" w:firstLineChars="200"/>
      </w:pPr>
      <w:r>
        <w:rPr>
          <w:rFonts w:ascii="Times New Roman" w:hAnsi="Times New Roman" w:eastAsia="宋体"/>
        </w:rPr>
        <w:t>单位：万元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补充正文样本段：格式母版法的原理是以一份已定稿的尽调报告为格式基线，构建器自动识别其中八类段落的格式样本，然后清空正文、按结构化内容重建整份报告，从而百分之百继承既有的字体、缩进、行距与表格样式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