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位于丽泽中心G层，建筑面积360平米，内设领导休息室和茶水间，主屏幕8平米，音响设备齐全，可供100人会议使用。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1445"/>
            <wp:effectExtent l="0" t="0" r="10160" b="1905"/>
            <wp:docPr id="1" name="图片 1" descr="652036800175859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20368001758593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精神堡垒（暂时未搭建）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活动场地：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前庭花园，一万平米，可做展览展示、趣味运动会等活动。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713990"/>
            <wp:effectExtent l="0" t="0" r="7620" b="10160"/>
            <wp:docPr id="4" name="图片 4" descr="微信图片_2017081516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708151631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下沉广场，可做展览展示、代理会、动员会、运动会等各种户外活动。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9700"/>
            <wp:effectExtent l="0" t="0" r="10160" b="12700"/>
            <wp:docPr id="3" name="图片 3" descr="微信图片_2017112415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11241536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多功能厅，建筑面积360平米，内设领导休息室、茶水间等，话筒音响设备齐全，主屏幕为8平米电子屏，可用作会议室、餐厅、年会场地等。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1445"/>
            <wp:effectExtent l="0" t="0" r="10160" b="1905"/>
            <wp:docPr id="5" name="图片 5" descr="微信图片_2017113008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71130085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1445"/>
            <wp:effectExtent l="0" t="0" r="10160" b="1905"/>
            <wp:docPr id="6" name="图片 6" descr="微信图片_2017113008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711300855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入驻企业名称及产品：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见表格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558B"/>
    <w:multiLevelType w:val="singleLevel"/>
    <w:tmpl w:val="5A1F55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C2C15"/>
    <w:rsid w:val="05EF6C26"/>
    <w:rsid w:val="39FC043B"/>
    <w:rsid w:val="6F0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2017-11-29T09:37:00Z</dcterms:created>
  <dc:creator>许小默</dc:creator>
  <cp:lastModifiedBy>许小默</cp:lastModifiedBy>
  <dcterms:modified xsi:type="dcterms:W3CDTF">2017-12-08T05:53:18Z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