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Verdana" w:hAnsi="Verdana" w:eastAsia="宋体" w:cs="Verdana"/>
          <w:b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="Verdana" w:hAnsi="Verdana" w:eastAsia="宋体" w:cs="Verdana"/>
          <w:b/>
          <w:i w:val="0"/>
          <w:caps w:val="0"/>
          <w:color w:val="auto"/>
          <w:spacing w:val="0"/>
          <w:sz w:val="21"/>
          <w:szCs w:val="21"/>
          <w:shd w:val="clear" w:fill="FFFFFF"/>
        </w:rPr>
        <w:t>丰田凯美瑞混合动力系统故障灯亮</w:t>
      </w:r>
    </w:p>
    <w:p>
      <w:pP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一辆行驶里程约19万km、车型为AHV41L，搭载3AZ发动机的2010年丰田凯美瑞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"http://www.gzweix.com/article/sort0253/sort0254/sort0525/_blank"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轿车。用户反映：该车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"http://www.gzweix.com/article/sort0253/sort0254/sort0525/_blank"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系统故障灯亮。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检查分析：维修人员检测动力系统控制单元，发现故障P0A93—高压电源逆变器冷却系统故障。查阅资料得知，逆变器的作用是将高压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"http://www.gzweix.com/article/sort0253/sort0254/sort0525/_blank"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的电压进一步升高，为直流电机MG1和MG2供电。逆变器的冷却系统采用电动水泵，并且有专用的散热器。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断开维修塞等待10 min后，戴上绝缘手套测量逆变器输出端的电压，为0V，说明静电已经彻底消除。在确保安全的前提下检查了逆变器的连接器，确认连接牢固。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用故障诊断仪IT-II激活水泵，确认其运转正常。仔细检查逆变器、水管及逆变器散热器，发现该散热器的支架有轻微变形与散热片接触，已经将散热器磨漏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  <w:lang w:eastAsia="zh-CN"/>
        </w:rPr>
        <w:t>。</w:t>
      </w:r>
    </w:p>
    <w:p>
      <w:pP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故障排除：更换散热器，故障排除。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NotDisplayPageBoundaries w:val="1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E74A65"/>
    <w:rsid w:val="09E74A65"/>
    <w:rsid w:val="6D53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4200\AppData\Roaming\Kingsoft\wps\addons\pool\win-i386\knewfileruby_1.0.0.12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Office_10.1.0.7668_F1E327BC-269C-435d-A152-05C5408002CA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2018-11-22T04:05:00Z</dcterms:created>
  <dc:creator>飞沙疯中转</dc:creator>
  <cp:lastModifiedBy>飞沙疯中转</cp:lastModifiedBy>
  <dcterms:modified xsi:type="dcterms:W3CDTF">2018-11-22T04:06:03Z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