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Verdana" w:hAnsi="Verdana" w:eastAsia="宋体" w:cs="Verdana"/>
          <w:b/>
          <w:i w:val="0"/>
          <w:caps w:val="0"/>
          <w:color w:val="222222"/>
          <w:spacing w:val="0"/>
          <w:sz w:val="21"/>
          <w:szCs w:val="21"/>
          <w:shd w:val="clear" w:fill="FFFFFF"/>
        </w:rPr>
      </w:pPr>
      <w:r>
        <w:rPr>
          <w:rFonts w:hint="eastAsia" w:ascii="Verdana" w:hAnsi="Verdana" w:eastAsia="宋体" w:cs="Verdana"/>
          <w:b/>
          <w:i w:val="0"/>
          <w:caps w:val="0"/>
          <w:color w:val="222222"/>
          <w:spacing w:val="0"/>
          <w:sz w:val="21"/>
          <w:szCs w:val="21"/>
          <w:shd w:val="clear" w:fill="FFFFFF"/>
        </w:rPr>
        <w:t>青年电动客车无法充电，且仪表无报警信息</w:t>
      </w:r>
    </w:p>
    <w:p>
      <w:pPr>
        <w:rPr>
          <w:rFonts w:hint="eastAsia" w:ascii="宋体" w:hAnsi="宋体" w:eastAsia="宋体" w:cs="宋体"/>
          <w:i w:val="0"/>
          <w:caps w:val="0"/>
          <w:color w:val="222222"/>
          <w:spacing w:val="0"/>
          <w:sz w:val="21"/>
          <w:szCs w:val="21"/>
          <w:shd w:val="clear" w:fill="FFFFFF"/>
        </w:rPr>
      </w:pPr>
      <w:r>
        <w:rPr>
          <w:rFonts w:hint="eastAsia" w:ascii="宋体" w:hAnsi="宋体" w:eastAsia="宋体" w:cs="宋体"/>
          <w:i w:val="0"/>
          <w:caps w:val="0"/>
          <w:color w:val="222222"/>
          <w:spacing w:val="0"/>
          <w:sz w:val="21"/>
          <w:szCs w:val="21"/>
          <w:shd w:val="clear" w:fill="FFFFFF"/>
        </w:rPr>
        <w:t>故障现象：</w:t>
      </w:r>
    </w:p>
    <w:p>
      <w:pPr>
        <w:rPr>
          <w:rFonts w:hint="eastAsia" w:ascii="宋体" w:hAnsi="宋体" w:eastAsia="宋体" w:cs="宋体"/>
          <w:i w:val="0"/>
          <w:caps w:val="0"/>
          <w:color w:val="222222"/>
          <w:spacing w:val="0"/>
          <w:sz w:val="21"/>
          <w:szCs w:val="21"/>
          <w:shd w:val="clear" w:fill="FFFFFF"/>
        </w:rPr>
      </w:pPr>
      <w:r>
        <w:rPr>
          <w:rFonts w:hint="eastAsia" w:ascii="宋体" w:hAnsi="宋体" w:eastAsia="宋体" w:cs="宋体"/>
          <w:i w:val="0"/>
          <w:caps w:val="0"/>
          <w:color w:val="222222"/>
          <w:spacing w:val="0"/>
          <w:sz w:val="21"/>
          <w:szCs w:val="21"/>
          <w:shd w:val="clear" w:fill="FFFFFF"/>
        </w:rPr>
        <w:t>车辆无法充电，且仪表无报警信息。</w:t>
      </w:r>
      <w:r>
        <w:rPr>
          <w:rFonts w:hint="eastAsia" w:ascii="宋体" w:hAnsi="宋体" w:eastAsia="宋体" w:cs="宋体"/>
          <w:i w:val="0"/>
          <w:caps w:val="0"/>
          <w:color w:val="222222"/>
          <w:spacing w:val="0"/>
          <w:sz w:val="21"/>
          <w:szCs w:val="21"/>
          <w:shd w:val="clear" w:fill="FFFFFF"/>
        </w:rPr>
        <w:br w:type="textWrapping"/>
      </w:r>
      <w:r>
        <w:rPr>
          <w:rFonts w:hint="eastAsia" w:ascii="宋体" w:hAnsi="宋体" w:eastAsia="宋体" w:cs="宋体"/>
          <w:i w:val="0"/>
          <w:caps w:val="0"/>
          <w:color w:val="222222"/>
          <w:spacing w:val="0"/>
          <w:sz w:val="21"/>
          <w:szCs w:val="21"/>
          <w:shd w:val="clear" w:fill="FFFFFF"/>
        </w:rPr>
        <w:t>故障诊断：</w:t>
      </w:r>
    </w:p>
    <w:p>
      <w:pPr>
        <w:rPr>
          <w:rFonts w:hint="eastAsia" w:ascii="Verdana" w:hAnsi="Verdana" w:eastAsia="宋体" w:cs="Verdana"/>
          <w:b/>
          <w:i w:val="0"/>
          <w:caps w:val="0"/>
          <w:color w:val="222222"/>
          <w:spacing w:val="0"/>
          <w:sz w:val="21"/>
          <w:szCs w:val="21"/>
          <w:shd w:val="clear" w:fill="FFFFFF"/>
        </w:rPr>
      </w:pPr>
      <w:r>
        <w:rPr>
          <w:rFonts w:hint="eastAsia" w:ascii="宋体" w:hAnsi="宋体" w:eastAsia="宋体" w:cs="宋体"/>
          <w:i w:val="0"/>
          <w:caps w:val="0"/>
          <w:color w:val="222222"/>
          <w:spacing w:val="0"/>
          <w:sz w:val="21"/>
          <w:szCs w:val="21"/>
          <w:shd w:val="clear" w:fill="FFFFFF"/>
        </w:rPr>
        <w:t>从车辆下方目视受电弓高压炭滑板与充电架的接触情况，贴合正常。检查仪表显示信息，动力电池组单体电芯电压蕊2.6 V，单体电芯温度`50℃，正常。换到其多辆车存在该故障，推断该车动力电池组的散热系统存在设计缺陷。</w:t>
      </w:r>
      <w:r>
        <w:rPr>
          <w:rFonts w:hint="eastAsia" w:ascii="宋体" w:hAnsi="宋体" w:eastAsia="宋体" w:cs="宋体"/>
          <w:i w:val="0"/>
          <w:caps w:val="0"/>
          <w:color w:val="222222"/>
          <w:spacing w:val="0"/>
          <w:sz w:val="21"/>
          <w:szCs w:val="21"/>
          <w:shd w:val="clear" w:fill="FFFFFF"/>
        </w:rPr>
        <w:br w:type="textWrapping"/>
      </w:r>
      <w:bookmarkStart w:id="0" w:name="_GoBack"/>
      <w:bookmarkEnd w:id="0"/>
      <w:r>
        <w:rPr>
          <w:rFonts w:hint="eastAsia" w:ascii="宋体" w:hAnsi="宋体" w:eastAsia="宋体" w:cs="宋体"/>
          <w:i w:val="0"/>
          <w:caps w:val="0"/>
          <w:color w:val="222222"/>
          <w:spacing w:val="0"/>
          <w:sz w:val="21"/>
          <w:szCs w:val="21"/>
          <w:shd w:val="clear" w:fill="FFFFFF"/>
        </w:rPr>
        <w:t>仔细检查动力电池组的散热管路，发现空气由1根较细的进风管吸入车厢座椅下方的动力电池组散热风箱（内部装有4个较小功率的鼓风机），然后由动力电池组散热风箱通过4个出风管分配至4个动力电池箱。经过与厂家沟通，得知该车动力电池组散热不良主要是因为动力电池组散热风箱的进风管太细，建议将动力电池组散热风箱盖改成滤网，这样不仅增大了进风量，还能吸入车厢内的空调风，可提高动力电池组的散热效果。</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Verdana">
    <w:panose1 w:val="020B0604030504040204"/>
    <w:charset w:val="00"/>
    <w:family w:val="auto"/>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val="1"/>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A13CF3"/>
    <w:rsid w:val="15A13CF3"/>
    <w:rsid w:val="6D535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4200\AppData\Roaming\Kingsoft\wps\addons\pool\win-i386\knewfileruby_1.0.0.12\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0</TotalTime>
  <ScaleCrop>false</ScaleCrop>
  <LinksUpToDate>false</LinksUpToDate>
  <CharactersWithSpaces>0</CharactersWithSpaces>
  <Application>WPS Office_10.1.0.7668_F1E327BC-269C-435d-A152-05C5408002CA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2018-11-22T02:35:00Z</dcterms:created>
  <dc:creator>飞沙疯中转</dc:creator>
  <cp:lastModifiedBy>飞沙疯中转</cp:lastModifiedBy>
  <dcterms:modified xsi:type="dcterms:W3CDTF">2018-11-22T02:35:57Z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