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多环境因子与Li浓度关系</w:t>
        <w:br/>
        <w:t>四种回归模型复现与改进记录</w:t>
      </w:r>
    </w:p>
    <w:p>
      <w:r>
        <w:rPr>
          <w:b/>
        </w:rPr>
        <w:t>组会汇报材料｜以原始Python代码与QSH.xlsx为准</w:t>
      </w:r>
    </w:p>
    <w:p>
      <w:r>
        <w:rPr>
          <w:b w:val="0"/>
        </w:rPr>
        <w:t>2026年10月18日｜连续浓度回归与因子预测重要性</w:t>
      </w:r>
    </w:p>
    <w:p>
      <w:r>
        <w:rPr>
          <w:b/>
        </w:rPr>
        <w:t>核心结论：SVR获得一定改善，RF基本持平；MLP的最终分数提高主要依赖物理非负下限修正；LightGBM本轮改动在固定测试集退化。所有升降均保留，不把失败试验写成成功。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474"/>
        <w:gridCol w:w="1474"/>
        <w:gridCol w:w="1531"/>
        <w:gridCol w:w="2154"/>
      </w:tblGrid>
      <w:tr>
        <w:trPr>
          <w:tblHeader/>
          <w:cantSplit/>
        </w:trPr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原始R²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最终R²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ΔR²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RMSE降幅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0.5390</w:t>
            </w:r>
          </w:p>
        </w:tc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0.5403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+0.0013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+0.15%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SVR</w:t>
            </w:r>
          </w:p>
        </w:tc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0.4680</w:t>
            </w:r>
          </w:p>
        </w:tc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0.5135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+0.0456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+4.38%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LightGBM</w:t>
            </w:r>
          </w:p>
        </w:tc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0.5396</w:t>
            </w:r>
          </w:p>
        </w:tc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0.4851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-0.0545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-5.75%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MLP</w:t>
            </w:r>
          </w:p>
        </w:tc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0.3562</w:t>
            </w:r>
          </w:p>
        </w:tc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0.5007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+0.1445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+11.93%</w:t>
            </w:r>
          </w:p>
        </w:tc>
      </w:tr>
    </w:tbl>
    <w:p>
      <w:r>
        <w:rPr>
          <w:b w:val="0"/>
          <w:color w:val="4A5560"/>
          <w:sz w:val="17"/>
        </w:rPr>
        <w:t>所有主表指标均为ln(1+Li)尺度；同一批273条测试记录。ΔR²是绝对差值，不是“准确率提高多少个百分点”。RMSE降幅为负表示误差变大。</w:t>
      </w:r>
    </w:p>
    <w:p>
      <w:pPr>
        <w:pStyle w:val="ListBullet"/>
      </w:pPr>
      <w:r>
        <w:t>RF：0.5390→0.5403，不能称为实质提升。</w:t>
      </w:r>
    </w:p>
    <w:p>
      <w:pPr>
        <w:pStyle w:val="ListBullet"/>
      </w:pPr>
      <w:r>
        <w:t>SVR：0.4680→0.5135；训练内五折均值和折间波动同时改善。</w:t>
      </w:r>
    </w:p>
    <w:p>
      <w:pPr>
        <w:pStyle w:val="ListBullet"/>
      </w:pPr>
      <w:r>
        <w:t>MLP：0.3562→0.5007；其中约0.0171来自训练修改，约0.1273来自修正一条负预测，必须分开汇报。</w:t>
      </w:r>
    </w:p>
    <w:p>
      <w:pPr>
        <w:pStyle w:val="ListBullet"/>
      </w:pPr>
      <w:r>
        <w:t>LightGBM：0.5396→0.4851；本次候选不建议替换原版，失败结果及原因假设均保留。</w:t>
      </w:r>
    </w:p>
    <w:p>
      <w:r>
        <w:rPr>
          <w:b w:val="0"/>
        </w:rPr>
        <w:t>建议：以RF和原始LightGBM约0.54的表现作为当前参考，同时继续核对数据字段和信息覆盖。模型重要性仅表示预测依赖，不是已经证实的因果影响。</w:t>
      </w:r>
    </w:p>
    <w:p>
      <w:r>
        <w:br w:type="page"/>
      </w:r>
    </w:p>
    <w:p>
      <w:pPr>
        <w:pStyle w:val="Heading1"/>
      </w:pPr>
      <w:r>
        <w:t>1　原始流程、数据与公平比较规则</w:t>
      </w:r>
    </w:p>
    <w:p>
      <w:r>
        <w:rPr>
          <w:b w:val="0"/>
        </w:rPr>
        <w:t>本次研究仅围绕Li浓度回归展开。图名笔误不作为模型问题；结果以本轮上传Excel和实际代码复现为准。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rPr>
          <w:tblHeader/>
          <w:cantSplit/>
        </w:trPr>
        <w:tc>
          <w:tcPr>
            <w:tcW w:type="dxa" w:w="481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统一设置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输入与目标</w:t>
            </w:r>
          </w:p>
        </w:tc>
        <w:tc>
          <w:tcPr>
            <w:tcW w:type="dxa" w:w="72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QSH.xlsx；目标Li；原始23个候选输入字段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排除字段</w:t>
            </w:r>
          </w:p>
        </w:tc>
        <w:tc>
          <w:tcPr>
            <w:tcW w:type="dxa" w:w="72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Li、ID、ID_1、E、W、1/0，与原代码一致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数据处理</w:t>
            </w:r>
          </w:p>
        </w:tc>
        <w:tc>
          <w:tcPr>
            <w:tcW w:type="dxa" w:w="72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原clean_data_final保持；去缺失/非数值后1365条；沿用Li≤2000，排除2条后1363条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目标变换</w:t>
            </w:r>
          </w:p>
        </w:tc>
        <w:tc>
          <w:tcPr>
            <w:tcW w:type="dxa" w:w="72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y = np.log1p(Li)，即ln(1+Li)，保持原代码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固定测试集</w:t>
            </w:r>
          </w:p>
        </w:tc>
        <w:tc>
          <w:tcPr>
            <w:tcW w:type="dxa" w:w="72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test_size=0.2、random_state=42；训练1090、测试273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内部验证</w:t>
            </w:r>
          </w:p>
        </w:tc>
        <w:tc>
          <w:tcPr>
            <w:tcW w:type="dxa" w:w="72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仅训练集内KFold(5, shuffle=True, random_state=20261018)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参数选择</w:t>
            </w:r>
          </w:p>
        </w:tc>
        <w:tc>
          <w:tcPr>
            <w:tcW w:type="dxa" w:w="72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按训练内平均R²选择；测试集用于检验选中方案，不用于挑参数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额外约束</w:t>
            </w:r>
          </w:p>
        </w:tc>
        <w:tc>
          <w:tcPr>
            <w:tcW w:type="dxa" w:w="72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固定ŷ=max(原始预测,0)，来自Li浓度非负性，不从测试集学习阈值</w:t>
            </w:r>
          </w:p>
        </w:tc>
      </w:tr>
    </w:tbl>
    <w:p>
      <w:pPr>
        <w:pStyle w:val="Heading2"/>
      </w:pPr>
      <w:r>
        <w:t>1.1 指标定义与边界</w:t>
      </w:r>
    </w:p>
    <w:p>
      <w:r>
        <w:rPr>
          <w:b w:val="0"/>
        </w:rPr>
        <w:t>R² = 1 − Σ(yᵢ−ŷᵢ)² / Σ(yᵢ−ȳ)²；RMSE = √mean((y−ŷ)²)；MAE = mean(|y−ŷ|)。</w:t>
      </w:r>
    </w:p>
    <w:p>
      <w:r>
        <w:rPr>
          <w:b w:val="0"/>
        </w:rPr>
        <w:t>此处y是ln(1+Li)，所以R²、RMSE和MAE不能混同于原始浓度尺度，也不能叫分类准确率。NSE在原公式下与R²完全相同，不作为第二条独立证据。</w:t>
      </w:r>
    </w:p>
    <w:p>
      <w:r>
        <w:rPr>
          <w:b w:val="0"/>
        </w:rPr>
        <w:t>适用范围沿用原代码的Li≤2000筛选。保留该筛选是为了公平比较，不代表本次重新证明了剔除高值的科学依据。</w:t>
      </w:r>
    </w:p>
    <w:p>
      <w:pPr>
        <w:pStyle w:val="Heading2"/>
      </w:pPr>
      <w:r>
        <w:t>1.2 复现核验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871"/>
        <w:gridCol w:w="3912"/>
      </w:tblGrid>
      <w:tr>
        <w:trPr>
          <w:tblHeader/>
          <w:cantSplit/>
        </w:trPr>
        <w:tc>
          <w:tcPr>
            <w:tcW w:type="dxa" w:w="240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模型</w:t>
            </w:r>
          </w:p>
        </w:tc>
        <w:tc>
          <w:tcPr>
            <w:tcW w:type="dxa" w:w="240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上传Excel R²</w:t>
            </w:r>
          </w:p>
        </w:tc>
        <w:tc>
          <w:tcPr>
            <w:tcW w:type="dxa" w:w="240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本环境复现R²</w:t>
            </w:r>
          </w:p>
        </w:tc>
        <w:tc>
          <w:tcPr>
            <w:tcW w:type="dxa" w:w="240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RF</w:t>
            </w:r>
          </w:p>
        </w:tc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0.538933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0.538987</w:t>
            </w:r>
          </w:p>
        </w:tc>
        <w:tc>
          <w:tcPr>
            <w:tcW w:type="dxa" w:w="391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差约5.4×10⁻⁵；主对比用同环境复现值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SVR</w:t>
            </w:r>
          </w:p>
        </w:tc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0.467979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0.467979</w:t>
            </w:r>
          </w:p>
        </w:tc>
        <w:tc>
          <w:tcPr>
            <w:tcW w:type="dxa" w:w="391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一致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LightGBM</w:t>
            </w:r>
          </w:p>
        </w:tc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0.539625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0.539625</w:t>
            </w:r>
          </w:p>
        </w:tc>
        <w:tc>
          <w:tcPr>
            <w:tcW w:type="dxa" w:w="391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一致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MLP</w:t>
            </w:r>
          </w:p>
        </w:tc>
        <w:tc>
          <w:tcPr>
            <w:tcW w:type="dxa" w:w="181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0.356201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0.356201</w:t>
            </w:r>
          </w:p>
        </w:tc>
        <w:tc>
          <w:tcPr>
            <w:tcW w:type="dxa" w:w="391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一致</w:t>
            </w:r>
          </w:p>
        </w:tc>
      </w:tr>
    </w:tbl>
    <w:p>
      <w:r>
        <w:br w:type="page"/>
      </w:r>
    </w:p>
    <w:p>
      <w:pPr>
        <w:pStyle w:val="Heading1"/>
      </w:pPr>
      <w:r>
        <w:t>2　修改路线与收益分解</w:t>
      </w:r>
    </w:p>
    <w:p>
      <w:r>
        <w:rPr>
          <w:b w:val="0"/>
        </w:rPr>
        <w:t>实际顺序：原代码复现 → 固定数据和划分 → 训练内比较正则化、去冗余、归一化/PCA与迭代模型 → 针对SVR/LightGBM/MLP再搜索 → 检查MLP收敛与数值复现 → 冻结参数 → 检验测试集 → 补充固定物理下限及因子解释核查。</w:t>
      </w:r>
    </w:p>
    <w:p>
      <w:r>
        <w:rPr>
          <w:b w:val="0"/>
        </w:rPr>
        <w:t>共完成588组随机搜索配置：第一轮广泛比较396组，收到另外三份代码后针对性比较192组；每组使用同一训练五折。另有两组MLP求解收敛复核。候选数不等于独立算法数量。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701"/>
        <w:gridCol w:w="1871"/>
        <w:gridCol w:w="1928"/>
        <w:gridCol w:w="2041"/>
      </w:tblGrid>
      <w:tr>
        <w:trPr>
          <w:tblHeader/>
          <w:cantSplit/>
        </w:trPr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原始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原始+仅下限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训练修改后</w:t>
              <w:br/>
              <w:t>未加下限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最终</w:t>
              <w:br/>
              <w:t>修改+下限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0.5390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0.5390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0.5403</w:t>
            </w:r>
          </w:p>
        </w:tc>
        <w:tc>
          <w:tcPr>
            <w:tcW w:type="dxa" w:w="204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0.5403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SVR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0.4680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0.4979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0.5135</w:t>
            </w:r>
          </w:p>
        </w:tc>
        <w:tc>
          <w:tcPr>
            <w:tcW w:type="dxa" w:w="204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0.5135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LightGBM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0.5396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0.5396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0.4851</w:t>
            </w:r>
          </w:p>
        </w:tc>
        <w:tc>
          <w:tcPr>
            <w:tcW w:type="dxa" w:w="204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0.4851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MLP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0.3562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0.3562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0.3733</w:t>
            </w:r>
          </w:p>
        </w:tc>
        <w:tc>
          <w:tcPr>
            <w:tcW w:type="dxa" w:w="204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0.5007</w:t>
            </w:r>
          </w:p>
        </w:tc>
      </w:tr>
    </w:tbl>
    <w:p>
      <w:r>
        <w:rPr>
          <w:b w:val="0"/>
          <w:color w:val="4A5560"/>
          <w:sz w:val="17"/>
        </w:rPr>
        <w:t>各列为固定测试集R²。“原始+仅下限”与“训练修改后”是不同分支，不能将两条分支的增益相加；主分解路径为原始→训练修改→固定下限。</w:t>
      </w:r>
    </w:p>
    <w:p>
      <w:r>
        <w:rPr>
          <w:b w:val="0"/>
        </w:rPr>
        <w:t>非负下限的依据：Li≥0意味着ln(1+Li)≥0。若原预测小于0，将其设为0不会增加任何非负实测值的平方误差或绝对误差。该约束不改变训练标签，也不删除测试记录。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77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7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　固定测试集与训练内五折验证对比。CV误差线为折间标准差，不是置信区间。</w:t>
      </w:r>
    </w:p>
    <w:p>
      <w:r>
        <w:br w:type="page"/>
      </w:r>
    </w:p>
    <w:p>
      <w:pPr>
        <w:pStyle w:val="Heading1"/>
      </w:pPr>
      <w:r>
        <w:t>3　Random Forest：小改与实际收益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701"/>
        <w:gridCol w:w="1871"/>
        <w:gridCol w:w="3798"/>
      </w:tblGrid>
      <w:tr>
        <w:trPr>
          <w:tblHeader/>
          <w:cantSplit/>
        </w:trPr>
        <w:tc>
          <w:tcPr>
            <w:tcW w:type="dxa" w:w="240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修改项</w:t>
            </w:r>
          </w:p>
        </w:tc>
        <w:tc>
          <w:tcPr>
            <w:tcW w:type="dxa" w:w="240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原始</w:t>
            </w:r>
          </w:p>
        </w:tc>
        <w:tc>
          <w:tcPr>
            <w:tcW w:type="dxa" w:w="240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最终</w:t>
            </w:r>
          </w:p>
        </w:tc>
        <w:tc>
          <w:tcPr>
            <w:tcW w:type="dxa" w:w="240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输入表示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23列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合并为6组数值信息</w:t>
            </w:r>
          </w:p>
        </w:tc>
        <w:tc>
          <w:tcPr>
            <w:tcW w:type="dxa" w:w="379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去除完全线性重复表示，保留已有信息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树数量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379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控制重复拟合成本，不宣称树更少导致更准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max_depth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79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限制模型复杂度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min_samples_leaf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9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在其他约束下经CV选择，并非所有约束都增大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max_features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1.0（默认）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0.3</w:t>
            </w:r>
          </w:p>
        </w:tc>
        <w:tc>
          <w:tcPr>
            <w:tcW w:type="dxa" w:w="379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增强特征抽样、降低树间相关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ccp_alpha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0.0（默认）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0.001</w:t>
            </w:r>
          </w:p>
        </w:tc>
        <w:tc>
          <w:tcPr>
            <w:tcW w:type="dxa" w:w="379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代价复杂度剪枝</w:t>
            </w:r>
          </w:p>
        </w:tc>
      </w:tr>
    </w:tbl>
    <w:p>
      <w:r>
        <w:rPr>
          <w:b w:val="0"/>
        </w:rPr>
        <w:t>训练CV R²：0.4112→0.4366；固定测试R²：0.5390→0.5403。训练拟合下降，测试几乎不变，说明减少过拟合倾向并不自动产生明显泛化收益。</w:t>
      </w:r>
    </w:p>
    <w:p>
      <w:r>
        <w:rPr>
          <w:b w:val="0"/>
        </w:rPr>
        <w:t>对照试验：保留23列、仅调整RF正则化参数时，测试R²为0.5383，也没有改善。最终采用训练CV较高的“去重复+RF”方案，未依据测试分数另挑参数。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1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before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　RF修改前后；两图使用相同测试记录与坐标范围。</w:t>
      </w:r>
    </w:p>
    <w:p>
      <w:r>
        <w:rPr>
          <w:b w:val="0"/>
          <w:color w:val="4A5560"/>
          <w:sz w:val="17"/>
        </w:rPr>
        <w:t>结论：可作为更清楚的建模与字段解释版本，但仅ΔR²≈+0.0013，不宜作为显著性能突破汇报。</w:t>
      </w:r>
    </w:p>
    <w:p>
      <w:r>
        <w:br w:type="page"/>
      </w:r>
    </w:p>
    <w:p>
      <w:pPr>
        <w:pStyle w:val="Heading1"/>
      </w:pPr>
      <w:r>
        <w:t>4　SVR：核参数与正则化调整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345"/>
        <w:gridCol w:w="3685"/>
      </w:tblGrid>
      <w:tr>
        <w:trPr>
          <w:tblHeader/>
          <w:cantSplit/>
        </w:trPr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修改项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原始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最终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标准化</w:t>
            </w:r>
          </w:p>
        </w:tc>
        <w:tc>
          <w:tcPr>
            <w:tcW w:type="dxa" w:w="334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Pipeline内StandardScaler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保留；原代码此处已正确实现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输入表示</w:t>
            </w:r>
          </w:p>
        </w:tc>
        <w:tc>
          <w:tcPr>
            <w:tcW w:type="dxa" w:w="334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23列（18列线性重复）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6组数值信息，避免核距离重复计权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核函数</w:t>
            </w:r>
          </w:p>
        </w:tc>
        <w:tc>
          <w:tcPr>
            <w:tcW w:type="dxa" w:w="334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RBF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RBF，保留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334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7.873647301696307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gamma</w:t>
            </w:r>
          </w:p>
        </w:tc>
        <w:tc>
          <w:tcPr>
            <w:tcW w:type="dxa" w:w="334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1.4490330125116613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epsilon</w:t>
            </w:r>
          </w:p>
        </w:tc>
        <w:tc>
          <w:tcPr>
            <w:tcW w:type="dxa" w:w="334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0.05，最终未变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预测范围</w:t>
            </w:r>
          </w:p>
        </w:tc>
        <w:tc>
          <w:tcPr>
            <w:tcW w:type="dxa" w:w="334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无约束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统一下限0；最终测试预测均已非负</w:t>
            </w:r>
          </w:p>
        </w:tc>
      </w:tr>
    </w:tbl>
    <w:p>
      <w:r>
        <w:rPr>
          <w:b w:val="0"/>
        </w:rPr>
        <w:t>C变小意味着对复杂拟合施加更强限制；gamma控制核作用范围，epsilon控制误差不敏感带。参数联合在训练五折内比较，不能孤立宣称某一个参数单独带来全部收益。</w:t>
      </w:r>
    </w:p>
    <w:p>
      <w:r>
        <w:rPr>
          <w:b w:val="0"/>
        </w:rPr>
        <w:t>固定测试R²由0.4680升至0.5135，Δ=+0.0456；RMSE下降4.38%，MAE仅下降0.22%。平方误差改善较明显，典型绝对误差的改善较小，不能只报一个指标。</w:t>
      </w:r>
    </w:p>
    <w:p>
      <w:r>
        <w:rPr>
          <w:b w:val="0"/>
        </w:rPr>
        <w:t>原SVR仅加非负下限即可达到R²=0.4979；完整修改版为0.5135。最终训练内五折R²约0.4298±0.0296，原始为0.3130±0.1233，验证波动也有所减小。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13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R_before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　SVR修改前后。原版存在一条负ln预测，仍在左图保留。</w:t>
      </w:r>
    </w:p>
    <w:p>
      <w:r>
        <w:br w:type="page"/>
      </w:r>
    </w:p>
    <w:p>
      <w:pPr>
        <w:pStyle w:val="Heading1"/>
      </w:pPr>
      <w:r>
        <w:t>5　LightGBM：有效配置核查与退化结果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288"/>
        <w:gridCol w:w="3515"/>
      </w:tblGrid>
      <w:tr>
        <w:trPr>
          <w:tblHeader/>
          <w:cantSplit/>
        </w:trPr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修改项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原始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最终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learning_rate / 树数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0.03 / 500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0.01 / 500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max_depth / num_leaves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 / 20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−1 / 7（用叶子数约束复杂度）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min_child_samples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20（默认）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reg_lambda / reg_alpha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 / 0（默认）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0.1 / 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colsample_bytree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0.8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subsample / subsample_freq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0.8 / 0（默认）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1.0 / 1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重要性定义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默认feature_importances_：分裂次数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统一为测试组置换R²下降量</w:t>
            </w:r>
          </w:p>
        </w:tc>
      </w:tr>
    </w:tbl>
    <w:p>
      <w:r>
        <w:rPr>
          <w:b w:val="0"/>
        </w:rPr>
        <w:t>配置事实：原subsample=0.8在subsample_freq=0时不会启用行采样。搜索时显式设置频率1并比较采样比例，但最终CV选中subsample=1.0，因此最终没有行采样，不能把收益归功于“开启采样”。</w:t>
      </w:r>
    </w:p>
    <w:p>
      <w:r>
        <w:rPr>
          <w:b w:val="0"/>
        </w:rPr>
        <w:t>内部CV均值由0.3990到0.4097，但固定测试R²由0.5396降到0.4851，RMSE反而增加约5.75%。本次修改未通过固定测试集检验，不建议替换原版。</w:t>
      </w:r>
    </w:p>
    <w:p>
      <w:r>
        <w:rPr>
          <w:b w:val="0"/>
        </w:rPr>
        <w:t>可能解释：更强平滑可能削弱该测试集需要的非线性结构，也可能反映单次划分与调参选择的波动。现有对照不能确定唯一原因。失败候选和全部参数记录均保留。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13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GBM_before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　LightGBM本轮修改出现退化，未删除或隐藏该结果。</w:t>
      </w:r>
    </w:p>
    <w:p>
      <w:r>
        <w:br w:type="page"/>
      </w:r>
    </w:p>
    <w:p>
      <w:pPr>
        <w:pStyle w:val="Heading1"/>
      </w:pPr>
      <w:r>
        <w:t>6　MLP：结构、L2正则与求解收敛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288"/>
        <w:gridCol w:w="3515"/>
      </w:tblGrid>
      <w:tr>
        <w:trPr>
          <w:tblHeader/>
          <w:cantSplit/>
        </w:trPr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修改项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原始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最终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标准化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Pipeline内StandardScaler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保留；不是新增改进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隐藏层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(64, 32)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(16, 8)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激活函数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relu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relu（搜索比较过tanh）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求解器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adam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lbfgs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alpha（L2强度）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0.0001（默认）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1.2970554218079453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max_iter / max_fun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1000 / 默认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5000 / 100000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实际最终迭代数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254（Adam）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1293（L-BFGS）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最终预测</w:t>
            </w:r>
          </w:p>
        </w:tc>
        <w:tc>
          <w:tcPr>
            <w:tcW w:type="dxa" w:w="328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未约束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max(原始ln预测, 0)</w:t>
            </w:r>
          </w:p>
        </w:tc>
      </w:tr>
    </w:tbl>
    <w:p>
      <w:r>
        <w:rPr>
          <w:b w:val="0"/>
        </w:rPr>
        <w:t>原MLP并没有产生收敛警告，不能笼统指责原训练“没有收敛”。本次比较了较小网络、更强L2，以及Adam早停和L-BFGS两类方案；最终选中L-BFGS，未使用Adam早停。</w:t>
      </w:r>
    </w:p>
    <w:p>
      <w:r>
        <w:rPr>
          <w:b w:val="0"/>
        </w:rPr>
        <w:t>最初上限1000的L-BFGS候选达到预算并报警；提高到5000后，6组输入版本五折均无收敛警告，各折730–3800步，最终全训练集1293步。23列候选即使提高上限仍有4/5折及最终拟合未收敛，未作为最终版本。</w:t>
      </w:r>
    </w:p>
    <w:p>
      <w:r>
        <w:rPr>
          <w:b w:val="0"/>
        </w:rPr>
        <w:t>增加迭代上限并未使CV分数继续升高：6组候选在上限1000时均值0.3740，但有警告；收敛复核后原始CV约0.3677。不能把“允许5000步”写成“实际训练5000步”或“迭代越多越好”。不同求解器的迭代定义也不能直接当作相同训练量比较。</w:t>
      </w:r>
    </w:p>
    <w:p>
      <w:pPr>
        <w:pStyle w:val="Heading2"/>
      </w:pPr>
      <w:r>
        <w:t>6.1 数值复现控制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24"/>
        <w:gridCol w:w="3005"/>
      </w:tblGrid>
      <w:tr>
        <w:trPr>
          <w:tblHeader/>
          <w:cantSplit/>
        </w:trPr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相同数值输入的布局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最终迭代数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未加下限测试R²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C连续布局（最终固定）</w:t>
            </w:r>
          </w:p>
        </w:tc>
        <w:tc>
          <w:tcPr>
            <w:tcW w:type="dxa" w:w="232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1293</w:t>
            </w:r>
          </w:p>
        </w:tc>
        <w:tc>
          <w:tcPr>
            <w:tcW w:type="dxa" w:w="300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0.3733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F连续布局（诊断，不选用）</w:t>
            </w:r>
          </w:p>
        </w:tc>
        <w:tc>
          <w:tcPr>
            <w:tcW w:type="dxa" w:w="232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300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0.4926</w:t>
            </w:r>
          </w:p>
        </w:tc>
      </w:tr>
    </w:tbl>
    <w:p>
      <w:r>
        <w:rPr>
          <w:b w:val="0"/>
        </w:rPr>
        <w:t>相同数值、不同内存布局产生了不同浮点计算路径，影响非凸L-BFGS的优化轨迹。最终明确使用np.ascontiguousarray固定C布局，并按该结果复跑，不挑偶然更高的一次。跨计算库或平台仍可能有数值差异。</w:t>
      </w:r>
    </w:p>
    <w:p>
      <w:pPr>
        <w:pStyle w:val="Heading2"/>
      </w:pPr>
      <w:r>
        <w:t>6.2 不能把全部收益记到调参名下</w:t>
      </w:r>
    </w:p>
    <w:p>
      <w:r>
        <w:rPr>
          <w:b w:val="0"/>
        </w:rPr>
        <w:t>原始R²=0.3562；训练修改后未加下限=0.3733；加入固定非负下限后=0.5007。总增益+0.1445中，训练修改+0.0171，下限修正+0.1273。</w:t>
      </w:r>
    </w:p>
    <w:p>
      <w:r>
        <w:br w:type="page"/>
      </w:r>
    </w:p>
    <w:p>
      <w:pPr>
        <w:pStyle w:val="Heading1"/>
      </w:pPr>
      <w:r>
        <w:t>7　非负约束：最小修改与单点敏感性</w:t>
      </w:r>
    </w:p>
    <w:p>
      <w:r>
        <w:rPr>
          <w:rFonts w:ascii="Consolas" w:hAnsi="Consolas"/>
          <w:b w:val="0"/>
          <w:sz w:val="17"/>
        </w:rPr>
        <w:t>raw_pred = model.predict(X_test)</w:t>
        <w:br/>
        <w:t>y_pred = np.maximum(raw_pred, 0.0)</w:t>
      </w:r>
    </w:p>
    <w:p>
      <w:r>
        <w:rPr>
          <w:b w:val="0"/>
        </w:rPr>
        <w:t>这一行是预测后处理。它不学习测试标签，不改变任何观测，不删除异常样本。变量重要性计算使用同样的有界评分规则，避免“主分数用截断、重要性却用未截断模型”的不一致。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474"/>
        <w:gridCol w:w="1417"/>
        <w:gridCol w:w="2041"/>
        <w:gridCol w:w="1417"/>
      </w:tblGrid>
      <w:tr>
        <w:trPr>
          <w:tblHeader/>
          <w:cantSplit/>
        </w:trPr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模型 / 分支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Excel行号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实测Li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原始ln预测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设定下限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SVR / original</w:t>
            </w:r>
          </w:p>
        </w:tc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1152</w:t>
            </w:r>
          </w:p>
        </w:tc>
        <w:tc>
          <w:tcPr>
            <w:tcW w:type="dxa" w:w="141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10.5</w:t>
            </w:r>
          </w:p>
        </w:tc>
        <w:tc>
          <w:tcPr>
            <w:tcW w:type="dxa" w:w="204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-1.5202</w:t>
            </w:r>
          </w:p>
        </w:tc>
        <w:tc>
          <w:tcPr>
            <w:tcW w:type="dxa" w:w="141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MLP / modified</w:t>
            </w:r>
          </w:p>
        </w:tc>
        <w:tc>
          <w:tcPr>
            <w:tcW w:type="dxa" w:w="147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1152</w:t>
            </w:r>
          </w:p>
        </w:tc>
        <w:tc>
          <w:tcPr>
            <w:tcW w:type="dxa" w:w="141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10.5</w:t>
            </w:r>
          </w:p>
        </w:tc>
        <w:tc>
          <w:tcPr>
            <w:tcW w:type="dxa" w:w="204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-4.4415</w:t>
            </w:r>
          </w:p>
        </w:tc>
        <w:tc>
          <w:tcPr>
            <w:tcW w:type="dxa" w:w="141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</w:tr>
    </w:tbl>
    <w:p>
      <w:r>
        <w:rPr>
          <w:b w:val="0"/>
        </w:rPr>
        <w:t>两条负预测都发生在同一条测试记录（Excel第1152行，Li=10.5）。并未据此删除该记录。MLP最终R²的很大一部分改善依赖这一条预测修正：训练内CV因该下限的均值增益只有约0.0003，而固定测试集增益约0.1273，说明结果具有明显单点敏感性。</w:t>
      </w:r>
    </w:p>
    <w:p>
      <w:r>
        <w:rPr>
          <w:b w:val="0"/>
        </w:rPr>
        <w:t>因此应说“加入物理下限避免了非法负浓度，并改善本测试集的平方误差”，不应说“神经网络已普遍获得同等幅度的泛化提升”。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1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before_af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　MLP最终版本包含物理下限。未截断预测和逐项收益保存在明细表中。</w:t>
      </w:r>
    </w:p>
    <w:p>
      <w:r>
        <w:br w:type="page"/>
      </w:r>
    </w:p>
    <w:p>
      <w:pPr>
        <w:pStyle w:val="Heading1"/>
      </w:pPr>
      <w:r>
        <w:t>8　因子影响程度：统一口径与可解释边界</w:t>
      </w:r>
    </w:p>
    <w:p>
      <w:r>
        <w:rPr>
          <w:b w:val="0"/>
        </w:rPr>
        <w:t>原RF、SVR、MLP使用置换重要性，原LightGBM默认使用分裂次数，不能直接比较柱高或数值。本报告另计算统一的测试组置换：打乱某组输入后R²下降多少，20次随机置换，random_state=42。</w:t>
      </w:r>
    </w:p>
    <w:p>
      <w:r>
        <w:rPr>
          <w:b w:val="0"/>
        </w:rPr>
        <w:t>18个完全线性重复字段共同置换，保持它们的内部关系；改动版以CECS代表这组共享信息。其余5个气候字段分别评估。原版与改动版在同一批记录和相同置换序列下比较。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531"/>
        <w:gridCol w:w="1531"/>
        <w:gridCol w:w="1531"/>
        <w:gridCol w:w="1757"/>
      </w:tblGrid>
      <w:tr>
        <w:trPr>
          <w:tblHeader/>
          <w:cantSplit/>
        </w:trPr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因子/组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SVR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LightGBM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MLP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AET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0.1214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0.4630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0.5682</w:t>
            </w:r>
          </w:p>
        </w:tc>
        <w:tc>
          <w:tcPr>
            <w:tcW w:type="dxa" w:w="17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6.1131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0.1140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0.3482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0.1516</w:t>
            </w:r>
          </w:p>
        </w:tc>
        <w:tc>
          <w:tcPr>
            <w:tcW w:type="dxa" w:w="17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3.1437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BIO7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0.1155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0.4580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0.0767</w:t>
            </w:r>
          </w:p>
        </w:tc>
        <w:tc>
          <w:tcPr>
            <w:tcW w:type="dxa" w:w="17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1.4685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PET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0.1126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0.4582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0.2971</w:t>
            </w:r>
          </w:p>
        </w:tc>
        <w:tc>
          <w:tcPr>
            <w:tcW w:type="dxa" w:w="17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2.8520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Alpha(AET/PET)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0.0700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0.3749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0.0161</w:t>
            </w:r>
          </w:p>
        </w:tc>
        <w:tc>
          <w:tcPr>
            <w:tcW w:type="dxa" w:w="17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4.5368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共享18字段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0.0315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0.2078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0.0182</w:t>
            </w:r>
          </w:p>
        </w:tc>
        <w:tc>
          <w:tcPr>
            <w:tcW w:type="dxa" w:w="17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0.5040</w:t>
            </w:r>
          </w:p>
        </w:tc>
      </w:tr>
    </w:tbl>
    <w:p>
      <w:r>
        <w:rPr>
          <w:b w:val="0"/>
        </w:rPr>
        <w:t>上述数值不是百分比，也不要求加起来等于1。置换下降量可以大于1，因为打乱变量后模型可能产生很差、甚至负的R²。MLP的数值明显偏大，反映其对共线变量组合和外推很敏感，不表示它证明了数倍的真实物理作用。</w:t>
      </w:r>
    </w:p>
    <w:p>
      <w:r>
        <w:rPr>
          <w:b w:val="0"/>
        </w:rPr>
        <w:t>AET、AI、Alpha等高度相关（例如AET与AI的r约0.981，AET与Alpha约0.988）。分别打乱会形成原数据中少见的组合，尤其可能放大SVR和MLP的置换损失。统一单位仍不能消除模型本身的稳定性差异。</w:t>
      </w:r>
    </w:p>
    <w:p>
      <w:r>
        <w:rPr>
          <w:b w:val="0"/>
        </w:rPr>
        <w:t>目前可支持：这些气候字段包含预测信息，RF的前四个单变量置换分数接近。不可支持：把某一柱高直接解释为因果效应、可相加的贡献率，或断言某一因子具有压倒性作用。</w:t>
      </w:r>
    </w:p>
    <w:p>
      <w:r>
        <w:br w:type="page"/>
      </w:r>
    </w:p>
    <w:p>
      <w:pPr>
        <w:pStyle w:val="Heading1"/>
      </w:pPr>
      <w:r>
        <w:t>9　统一重要性图与联合块检验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64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ized_group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　改动版的组置换重要性。四个子图横轴范围不同，需读刻度；误差线为重复置换标准差。</w:t>
      </w:r>
    </w:p>
    <w:p>
      <w:r>
        <w:rPr>
          <w:b w:val="0"/>
        </w:rPr>
        <w:t>作为补充，将5个气候字段一起置换，保留它们之间原有的实际组合：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515"/>
        <w:gridCol w:w="3458"/>
      </w:tblGrid>
      <w:tr>
        <w:trPr>
          <w:tblHeader/>
          <w:cantSplit/>
        </w:trPr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5气候字段共同置换ΔR²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共享字段组ΔR²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0.8888</w:t>
            </w:r>
          </w:p>
        </w:tc>
        <w:tc>
          <w:tcPr>
            <w:tcW w:type="dxa" w:w="345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0.0315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SVR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1.0964</w:t>
            </w:r>
          </w:p>
        </w:tc>
        <w:tc>
          <w:tcPr>
            <w:tcW w:type="dxa" w:w="345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0.2078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LightGBM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0.8676</w:t>
            </w:r>
          </w:p>
        </w:tc>
        <w:tc>
          <w:tcPr>
            <w:tcW w:type="dxa" w:w="345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0.0182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MLP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1.1677</w:t>
            </w:r>
          </w:p>
        </w:tc>
        <w:tc>
          <w:tcPr>
            <w:tcW w:type="dxa" w:w="345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0.5040</w:t>
            </w:r>
          </w:p>
        </w:tc>
      </w:tr>
    </w:tbl>
    <w:p>
      <w:r>
        <w:rPr>
          <w:b w:val="0"/>
          <w:color w:val="4A5560"/>
          <w:sz w:val="17"/>
        </w:rPr>
        <w:t>联合块检验有助于减少气候组内关系被破坏的影响，但仍是统计预测诊断，不能替代机理实验或因果识别。</w:t>
      </w:r>
    </w:p>
    <w:p>
      <w:r>
        <w:br w:type="page"/>
      </w:r>
    </w:p>
    <w:p>
      <w:pPr>
        <w:pStyle w:val="Heading1"/>
      </w:pPr>
      <w:r>
        <w:t>10　解释稳定性：RF去一组因子重训练</w:t>
      </w:r>
    </w:p>
    <w:p>
      <w:r>
        <w:rPr>
          <w:b w:val="0"/>
        </w:rPr>
        <w:t>为区分“模型依赖某字段”和“该字段提供独立增量信息”，对当前RF补充去一组因子再训练：每个训练验证折固定参数，移除一组，重新拟合，比较相同验证记录的R²。正数表示移除后变差；负数表示移除后反而略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967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importance_stabi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9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　左：跨折置换依赖；右：去一组因子后重训练的增量预测价值。两者回答不同问题。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757"/>
        <w:gridCol w:w="1871"/>
        <w:gridCol w:w="2665"/>
      </w:tblGrid>
      <w:tr>
        <w:trPr>
          <w:tblHeader/>
          <w:cantSplit/>
        </w:trPr>
        <w:tc>
          <w:tcPr>
            <w:tcW w:type="dxa" w:w="240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因子/组</w:t>
            </w:r>
          </w:p>
        </w:tc>
        <w:tc>
          <w:tcPr>
            <w:tcW w:type="dxa" w:w="240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均值ΔR²</w:t>
            </w:r>
          </w:p>
        </w:tc>
        <w:tc>
          <w:tcPr>
            <w:tcW w:type="dxa" w:w="240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折间标准差</w:t>
            </w:r>
          </w:p>
        </w:tc>
        <w:tc>
          <w:tcPr>
            <w:tcW w:type="dxa" w:w="240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五折范围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AET</w:t>
            </w:r>
          </w:p>
        </w:tc>
        <w:tc>
          <w:tcPr>
            <w:tcW w:type="dxa" w:w="17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+0.0142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0.0061</w:t>
            </w:r>
          </w:p>
        </w:tc>
        <w:tc>
          <w:tcPr>
            <w:tcW w:type="dxa" w:w="266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[+0.0055, +0.0216]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17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+0.0128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0.0069</w:t>
            </w:r>
          </w:p>
        </w:tc>
        <w:tc>
          <w:tcPr>
            <w:tcW w:type="dxa" w:w="266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[+0.0076, +0.0227]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Alpha(AET/PET)</w:t>
            </w:r>
          </w:p>
        </w:tc>
        <w:tc>
          <w:tcPr>
            <w:tcW w:type="dxa" w:w="17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+0.0077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0.0108</w:t>
            </w:r>
          </w:p>
        </w:tc>
        <w:tc>
          <w:tcPr>
            <w:tcW w:type="dxa" w:w="266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[-0.0050, +0.0204]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BIO7</w:t>
            </w:r>
          </w:p>
        </w:tc>
        <w:tc>
          <w:tcPr>
            <w:tcW w:type="dxa" w:w="17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-0.0005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0.0118</w:t>
            </w:r>
          </w:p>
        </w:tc>
        <w:tc>
          <w:tcPr>
            <w:tcW w:type="dxa" w:w="266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[-0.0109, +0.0184]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共享18字段</w:t>
            </w:r>
          </w:p>
        </w:tc>
        <w:tc>
          <w:tcPr>
            <w:tcW w:type="dxa" w:w="17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-0.0011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0.0135</w:t>
            </w:r>
          </w:p>
        </w:tc>
        <w:tc>
          <w:tcPr>
            <w:tcW w:type="dxa" w:w="266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[-0.0170, +0.0147]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PET</w:t>
            </w:r>
          </w:p>
        </w:tc>
        <w:tc>
          <w:tcPr>
            <w:tcW w:type="dxa" w:w="1757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-0.0076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0.0081</w:t>
            </w:r>
          </w:p>
        </w:tc>
        <w:tc>
          <w:tcPr>
            <w:tcW w:type="dxa" w:w="2665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[-0.0187, +0.0028]</w:t>
            </w:r>
          </w:p>
        </w:tc>
      </w:tr>
    </w:tbl>
    <w:p>
      <w:r>
        <w:rPr>
          <w:b w:val="0"/>
        </w:rPr>
        <w:t>AET与AI在此固定RF设置下保留了小幅、相对稳定的增量预测信息。PET移除后均值反而略高，并不证明PET无物理作用：其他共线变量可以替代它，也可能存在建模与抽样波动。此检验未为每种删列重新调参，结论仅针对当前建模设置。</w:t>
      </w:r>
    </w:p>
    <w:p>
      <w:r>
        <w:br w:type="page"/>
      </w:r>
    </w:p>
    <w:p>
      <w:pPr>
        <w:pStyle w:val="Heading1"/>
      </w:pPr>
      <w:r>
        <w:t>11　数据限制、汇报措辞与后续工作</w:t>
      </w:r>
    </w:p>
    <w:p>
      <w:pPr>
        <w:pStyle w:val="Heading2"/>
      </w:pPr>
      <w:r>
        <w:t>11.1 已核实的数据事实</w:t>
      </w:r>
    </w:p>
    <w:p>
      <w:pPr>
        <w:pStyle w:val="ListBullet"/>
      </w:pPr>
      <w:r>
        <w:t>原23列中，CECS、CECT、SpH、SOC、SCF、SSiF、SSaF、SGC、TCF、TSiF、TSaF、TGC、TpH、TOC、ST逐行相同；OAR、SNRC为其2倍，SNA为3倍。因此只能辨认共享信息，不能独立估计这18个物理因子的作用。</w:t>
      </w:r>
    </w:p>
    <w:p>
      <w:pPr>
        <w:pStyle w:val="ListBullet"/>
      </w:pPr>
      <w:r>
        <w:t>存在188条额外记录落在相同输入组合中；例如一组两条记录23个输入完全相同，但Li分别为10和450。任何只依赖这些输入的确定性模型都会给它们同样预测。</w:t>
      </w:r>
    </w:p>
    <w:p>
      <w:pPr>
        <w:pStyle w:val="ListBullet"/>
      </w:pPr>
      <w:r>
        <w:t>这一反例说明部分误差无法仅靠换算法消除，并不证明R²约0.54就是总体可达上限。字段提取问题、未观测因素、采样条件差异或测量噪声仍需原始记录核实。</w:t>
      </w:r>
    </w:p>
    <w:p>
      <w:pPr>
        <w:pStyle w:val="Heading2"/>
      </w:pPr>
      <w:r>
        <w:t>11.2 当前结果的边界</w:t>
      </w:r>
    </w:p>
    <w:p>
      <w:r>
        <w:rPr>
          <w:b w:val="0"/>
        </w:rPr>
        <w:t>主结果来自一次固定随机留出，是内部开发验证，未进行外部独立数据验证；CV最大值还存在多重选参的乐观倾向。小差异不称为显著提升。RF与原LightGBM均约0.54，不能仅因末位差异就判定稳健优劣。</w:t>
      </w:r>
    </w:p>
    <w:p>
      <w:r>
        <w:rPr>
          <w:b w:val="0"/>
        </w:rPr>
        <w:t>优先核对重复字段对应的真实属性、样本匹配和高杠杆测试记录；若需提高因素辨识度，应补充有实质新信息、能区分同环境不同浓度样本的变量。当前没有足够依据把重要性排名当作主控机理结论。</w:t>
      </w:r>
    </w:p>
    <w:p>
      <w:pPr>
        <w:pStyle w:val="Heading2"/>
      </w:pPr>
      <w:r>
        <w:t>11.3 组会口头汇报简稿</w:t>
      </w:r>
    </w:p>
    <w:p>
      <w:r>
        <w:rPr>
          <w:b w:val="0"/>
        </w:rPr>
        <w:t>“本次以四份原始回归代码为基准，保留相同样本筛选、对数变换和训练测试划分，先复现原结果，再在训练集内做五折参数比较。修改重点是去除完全重复表示、针对不同算法调整正则化与复杂度，并核对求解收敛和浓度非负约束。</w:t>
      </w:r>
    </w:p>
    <w:p>
      <w:r>
        <w:rPr>
          <w:b w:val="0"/>
        </w:rPr>
        <w:t>结果并不是所有方法都提高。RF基本不变；SVR的测试R²从0.468提高到0.514，内部验证也更稳定；LightGBM本次候选退化，保留为负面结果。MLP最终到0.501，但调参只贡献约0.017，主要增益来自纠正一条负预测，因此不能全部归因于网络结构优化。</w:t>
      </w:r>
    </w:p>
    <w:p>
      <w:r>
        <w:rPr>
          <w:b w:val="0"/>
        </w:rPr>
        <w:t>解释方面，统一了原先不同定义的变量重要性，并补充跨折和去一组因子重训。当前数据中18个字段共享同一组数值，气候变量也高度相关，所以能报告预测关联与信息冗余，暂不能精确分离每个环境因子的真实因果作用。下一步先核实数据，再判断是否需要更复杂模型。”</w:t>
      </w:r>
    </w:p>
    <w:p>
      <w:r>
        <w:br w:type="page"/>
      </w:r>
    </w:p>
    <w:p>
      <w:pPr>
        <w:pStyle w:val="Heading1"/>
      </w:pPr>
      <w:r>
        <w:t>附录A　实验清单与未胜出方案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1984"/>
        <w:gridCol w:w="1928"/>
      </w:tblGrid>
      <w:tr>
        <w:trPr>
          <w:tblHeader/>
          <w:cantSplit/>
        </w:trPr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第一轮方案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训练五折R²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折间标准差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RF_deduplicated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0.4366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0.0425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RF_regularized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0.4271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0.0369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ExtraTrees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0.4188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0.0460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HistGradientBoosting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0.4177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0.0457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SVR_scaled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0.4126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0.0270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GradientBoosting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0.4074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0.0488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CatBoost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0.4054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0.0677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LightGBM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0.4054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0.0404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KNN_scaled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0.4013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0.0392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RF_PCA_scaled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0.3953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0.0269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KernelRidge_scaled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0.3698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0.0954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ElasticNet_scaled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0.2165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0.0580</w:t>
            </w:r>
          </w:p>
        </w:tc>
      </w:tr>
    </w:tbl>
    <w:p>
      <w:r>
        <w:rPr>
          <w:b w:val="0"/>
        </w:rPr>
        <w:t>上表为396组搜索中各方案的训练CV最优值，并非它们的测试集排名；未逐一查看这些方案测试分数后挑冠军。CatBoost、LightGBM等使用成熟开源实现，最终交付脚本仍保留用户原有四算法。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1984"/>
        <w:gridCol w:w="1928"/>
      </w:tblGrid>
      <w:tr>
        <w:trPr>
          <w:tblHeader/>
          <w:cantSplit/>
        </w:trPr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新增针对性方案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配置数</w:t>
            </w:r>
          </w:p>
        </w:tc>
        <w:tc>
          <w:tcPr>
            <w:tcW w:type="dxa" w:w="3213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训练CV最优R²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SVR_full23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0.4028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LightGBM_full23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0.4097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MLP_full23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0.3184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SVR_dedup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0.4298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LightGBM_dedup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0.4097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MLP_dedup</w:t>
            </w:r>
          </w:p>
        </w:tc>
        <w:tc>
          <w:tcPr>
            <w:tcW w:type="dxa" w:w="1984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9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0.3740</w:t>
            </w:r>
          </w:p>
        </w:tc>
      </w:tr>
    </w:tbl>
    <w:p>
      <w:r>
        <w:rPr>
          <w:b w:val="0"/>
          <w:color w:val="4A5560"/>
          <w:sz w:val="17"/>
        </w:rPr>
        <w:t>MLP表中1000步L-BFGS最优候选存在收敛警告，后续分别用5000步预算复核，不将其不稳定分数直接当最终模型成绩。</w:t>
      </w:r>
    </w:p>
    <w:p>
      <w:r>
        <w:br w:type="page"/>
      </w:r>
    </w:p>
    <w:p>
      <w:pPr>
        <w:pStyle w:val="Heading1"/>
      </w:pPr>
      <w:r>
        <w:t>附录B　搜索空间、控制变量与失败记录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90"/>
      </w:tblGrid>
      <w:tr>
        <w:trPr>
          <w:tblHeader/>
          <w:cantSplit/>
        </w:trPr>
        <w:tc>
          <w:tcPr>
            <w:tcW w:type="dxa" w:w="481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方案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主要搜索维度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RF / 去重复RF</w:t>
            </w:r>
          </w:p>
        </w:tc>
        <w:tc>
          <w:tcPr>
            <w:tcW w:type="dxa" w:w="669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深度{4,6,8,10,14,None}；叶子样本{1,3,5,10,20}；特征比例{0.3,0.6,1.0}；样本比例{0.6,0.8,None}；ccp_alpha{0,0.001,0.01}；每方案36组、500棵树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SVR（针对性）</w:t>
            </w:r>
          </w:p>
        </w:tc>
        <w:tc>
          <w:tcPr>
            <w:tcW w:type="dxa" w:w="669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C：log-uniform(0.1,1000)；gamma：log-uniform(0.001,3)；epsilon∈{0.01,0.05,0.1,0.2,0.3}；23列/6组各36组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LightGBM（针对性）</w:t>
            </w:r>
          </w:p>
        </w:tc>
        <w:tc>
          <w:tcPr>
            <w:tcW w:type="dxa" w:w="669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树数{300,500,900}；步长{0.01,0.03,0.05}；深度{3,5,8,-1}；叶子{7,15,20,31}；min_child_samples{5,10,20,40}；L1{0,0.1,1,10}；L2{0,0.1,1,10,100}；采样{0.6,0.8,1}；min_split_gain{0,0.01,0.1}；每表示36组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MLP（针对性）</w:t>
            </w:r>
          </w:p>
        </w:tc>
        <w:tc>
          <w:tcPr>
            <w:tcW w:type="dxa" w:w="669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层结构{(8),(16),(32),(16,8),(32,16)}；激活relu/tanh；L2 alpha：log-uniform(0.001,100)；Adam分支使用训练内早停（15%、30步耐心、2000上限）与学习率搜索；L-BFGS分支1000上限。23列/6组各24组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求解复核</w:t>
            </w:r>
          </w:p>
        </w:tc>
        <w:tc>
          <w:tcPr>
            <w:tcW w:type="dxa" w:w="669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两种MLP输入表示均增加到max_iter=5000、max_fun=100000；不使用测试集作早停集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归一化/PCA等</w:t>
            </w:r>
          </w:p>
        </w:tc>
        <w:tc>
          <w:tcPr>
            <w:tcW w:type="dxa" w:w="669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仅训练折拟合标准化/PCA；完整588行搜索结果提供所有参数、每折分数、均值、波动与拟合耗时</w:t>
            </w:r>
          </w:p>
        </w:tc>
      </w:tr>
    </w:tbl>
    <w:p>
      <w:pPr>
        <w:pStyle w:val="Heading2"/>
      </w:pPr>
      <w:r>
        <w:t>失败与纠正的记录</w:t>
      </w:r>
    </w:p>
    <w:p>
      <w:pPr>
        <w:pStyle w:val="ListBullet"/>
      </w:pPr>
      <w:r>
        <w:t>保留23列、只调RF正则化：测试R²约0.5383，未改善；不回避该结果。</w:t>
      </w:r>
    </w:p>
    <w:p>
      <w:pPr>
        <w:pStyle w:val="ListBullet"/>
      </w:pPr>
      <w:r>
        <w:t>LightGBM：内部CV小幅变好而固定测试退化，不能只报CV的提高。</w:t>
      </w:r>
    </w:p>
    <w:p>
      <w:pPr>
        <w:pStyle w:val="ListBullet"/>
      </w:pPr>
      <w:r>
        <w:t>MLP：1000步预算未收敛→提高预算并逐折检查；23列分支仍不收敛而未选用。</w:t>
      </w:r>
    </w:p>
    <w:p>
      <w:pPr>
        <w:pStyle w:val="ListBullet"/>
      </w:pPr>
      <w:r>
        <w:t>交付复跑发现MLP与实验不一致→定位为C/F内存布局改变求解路径→固定C布局复跑，未挑更高的一次。</w:t>
      </w:r>
    </w:p>
    <w:p>
      <w:pPr>
        <w:pStyle w:val="ListBullet"/>
      </w:pPr>
      <w:r>
        <w:t>原SVR与MLP候选出现负ln预测→保留原始预测、加入预先固定的物理下限→单独列出后处理收益与负预测记录。</w:t>
      </w:r>
    </w:p>
    <w:p>
      <w:r>
        <w:br w:type="page"/>
      </w:r>
    </w:p>
    <w:p>
      <w:pPr>
        <w:pStyle w:val="Heading1"/>
      </w:pPr>
      <w:r>
        <w:t>附录C　复现、文件导航与开源依据</w:t>
      </w:r>
    </w:p>
    <w:p>
      <w:r>
        <w:rPr>
          <w:b w:val="0"/>
        </w:rPr>
        <w:t>推荐环境：Python3.12.14、NumPy2.3.5、pandas2.2.3、scikit-learn1.8.0、matplotlib3.10.8、openpyxl3.1.5、LightGBM4.7.0。CatBoost1.2.10仅用于广泛方法比较。MLP结果对数值库与求解路径敏感；环境信息需和结果一起留存。</w:t>
      </w:r>
    </w:p>
    <w:p>
      <w:r>
        <w:rPr>
          <w:rFonts w:ascii="Consolas" w:hAnsi="Consolas"/>
          <w:b w:val="0"/>
          <w:sz w:val="17"/>
        </w:rPr>
        <w:t>python -m pip install -r requirements.txt</w:t>
        <w:br/>
        <w:t>python code/RF_modified.py QSH.xlsx --output results/RF</w:t>
        <w:br/>
        <w:t>python code/SVR_modified.py QSH.xlsx --output results/SVR</w:t>
        <w:br/>
        <w:t>python code/LightGBM_modified.py QSH.xlsx --output results/LightGBM</w:t>
        <w:br/>
        <w:t>python code/MLP_modified.py QSH.xlsx --output results/MLP</w:t>
      </w:r>
    </w:p>
    <w:p>
      <w:r>
        <w:rPr>
          <w:b w:val="0"/>
        </w:rPr>
        <w:t>LightGBM树图另需要Graphviz系统程序dot。训练与结果计算不依赖树图的机理解释。中文字体影响图中文字显示，不改变数值计算。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329"/>
      </w:tblGrid>
      <w:tr>
        <w:trPr>
          <w:tblHeader/>
          <w:cantSplit/>
        </w:trPr>
        <w:tc>
          <w:tcPr>
            <w:tcW w:type="dxa" w:w="481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文件/目录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spacing w:after="40" w:line="252" w:lineRule="auto"/>
            </w:pPr>
            <w:r>
              <w:rPr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Li_group_meeting_report.docx / PDF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本报告：用于组会阅读与复核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group_meeting_results.xlsx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原始复现、最终测试、消融、预测、统一重要性、跨折稳定性与数据实例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all_training_search_records.csv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588组训练搜索配置与每折结果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code/ + originals/ + diffs/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四份修改版、原代码副本与逐行差异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results/ + figures/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各脚本实跑输出及组会前后对比图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negative_prediction_ablation.csv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负预测位置与原始/有界输出，便于排除夸大收益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four_selected_frozen.json + final_cv_folds.json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冻结的参数与逐折验证记录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source_manifest.json</w:t>
            </w:r>
          </w:p>
        </w:tc>
        <w:tc>
          <w:tcPr>
            <w:tcW w:type="dxa" w:w="5329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7"/>
              </w:rPr>
              <w:t>输入文件大小与SHA256，确认使用的数据版本</w:t>
            </w:r>
          </w:p>
        </w:tc>
      </w:tr>
    </w:tbl>
    <w:p>
      <w:pPr>
        <w:pStyle w:val="Heading2"/>
      </w:pPr>
      <w:r>
        <w:t>开源方案与方法参考</w:t>
      </w:r>
    </w:p>
    <w:p>
      <w:r>
        <w:rPr>
          <w:b w:val="0"/>
          <w:color w:val="4A5560"/>
          <w:sz w:val="17"/>
        </w:rPr>
        <w:t>https://github.com/scikit-learn/scikit-learn</w:t>
      </w:r>
    </w:p>
    <w:p>
      <w:r>
        <w:rPr>
          <w:b w:val="0"/>
          <w:color w:val="4A5560"/>
          <w:sz w:val="17"/>
        </w:rPr>
        <w:t>https://github.com/scikit-learn/scikit-learn/blob/main/examples/inspection/plot_permutation_importance_multicollinear.py</w:t>
      </w:r>
    </w:p>
    <w:p>
      <w:r>
        <w:rPr>
          <w:b w:val="0"/>
          <w:color w:val="4A5560"/>
          <w:sz w:val="17"/>
        </w:rPr>
        <w:t>https://github.com/scikit-learn/scikit-learn/blob/main/examples/neural_networks/plot_mlp_alpha.py</w:t>
      </w:r>
    </w:p>
    <w:p>
      <w:r>
        <w:rPr>
          <w:b w:val="0"/>
          <w:color w:val="4A5560"/>
          <w:sz w:val="17"/>
        </w:rPr>
        <w:t>https://github.com/microsoft/LightGBM</w:t>
      </w:r>
    </w:p>
    <w:p>
      <w:r>
        <w:rPr>
          <w:b w:val="0"/>
          <w:color w:val="4A5560"/>
          <w:sz w:val="17"/>
        </w:rPr>
        <w:t>https://github.com/catboost/catboost</w:t>
      </w:r>
    </w:p>
    <w:p>
      <w:r>
        <w:rPr>
          <w:b/>
        </w:rPr>
        <w:t>输入数据SHA256：</w:t>
      </w:r>
    </w:p>
    <w:p>
      <w:r>
        <w:rPr>
          <w:b w:val="0"/>
          <w:color w:val="4A5560"/>
          <w:sz w:val="17"/>
        </w:rPr>
        <w:t>0c9430d5148ddf187b5508b44c2adb4af82ad6e8ffdd4c814578d9647d8f40b5</w:t>
      </w:r>
    </w:p>
    <w:p>
      <w:r>
        <w:rPr>
          <w:b w:val="0"/>
          <w:color w:val="4A5560"/>
          <w:sz w:val="17"/>
        </w:rPr>
        <w:t>所有表格和图来自本次实际运行。未将未运行方案写成已验证；未把收敛警告写成通过；未把变量重要性写成因果贡献。</w:t>
      </w:r>
    </w:p>
    <w:p>
      <w:r>
        <w:br w:type="page"/>
      </w:r>
    </w:p>
    <w:p>
      <w:pPr>
        <w:pStyle w:val="Heading1"/>
      </w:pPr>
      <w:r>
        <w:t>补充实验一：R²是否已经到上限？</w:t>
      </w:r>
    </w:p>
    <w:p>
      <w:r>
        <w:rPr>
          <w:b/>
        </w:rPr>
        <w:t>结论：不能认定已到上限；本轮仍有小幅提升，但没有出现足以支持明显突破的结果。也没有、且无法声称穷尽所有机器学习方法。</w:t>
      </w:r>
    </w:p>
    <w:p>
      <w:r>
        <w:rPr>
          <w:b w:val="0"/>
        </w:rPr>
        <w:t>针对“是否试过迭代和删异常值”的问题，本轮新增63组配置（含对照）、315个五折验证分数，并比较11个RF/SVR加权比例。此前588组搜索记录继续保留。各类方案均先根据训练集CV确定，再对完整273条固定测试记录评价一次；所有成功和退化结果一并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已补做的检验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更多树／轮次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RF及两种LightGBM各50、100、300、500、1000、2000轮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18组；不靠测试分数选轮次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稳健拟合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16组Huber与16组匹配平方损失梯度提升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降低极端残差影响，不等于识别错误记录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删除异常样本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目标分位数、X空间IsolationForest、训练OOF残差，各1%、2%、5%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规则只在当折训练子集估计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缩尾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同样分位点截断训练目标，各1%、2%、5%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不修改验证或测试观测值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模型互补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已选RF和SVR，RF权重0至1、间隔0.1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11种权重，仅按训练OOF五折均值选择</w:t>
            </w:r>
          </w:p>
        </w:tc>
      </w:tr>
    </w:tbl>
    <w:p>
      <w:r>
        <w:rPr>
          <w:b w:val="0"/>
        </w:rPr>
        <w:t>统一条件：1363条数据（延续原代码Li≤2000），1090训练／273测试，目标ln(1+Li)，原随机划分种子42，五折种子20261018。采用已有6个等价信息组；全部候选预测均使用固定非负下限。原代码中的Li&gt;2000筛选没有在本轮重新论证。</w:t>
      </w:r>
    </w:p>
    <w:p>
      <w:r>
        <w:rPr>
          <w:b w:val="0"/>
        </w:rPr>
        <w:t>迭代不是重复换随机种子直到分数变好。随机森林的树数、提升树的逐轮残差拟合、MLP的数值优化迭代含义不同。此前MLP已扩至5000步并检查收敛；本轮重点检查树数曲线。</w:t>
      </w:r>
    </w:p>
    <w:p>
      <w:r>
        <w:rPr>
          <w:b w:val="0"/>
        </w:rPr>
        <w:t>成熟实现来源：scikit-learn GitHub仓库中的RandomForestRegressor、GradientBoostingRegressor、IsolationForest及cross_val_predict；具体链接、参数、逐折分数保存在additional_experiments/。</w:t>
      </w:r>
    </w:p>
    <w:p>
      <w:r>
        <w:br w:type="page"/>
      </w:r>
    </w:p>
    <w:p>
      <w:pPr>
        <w:pStyle w:val="Heading1"/>
      </w:pPr>
      <w:r>
        <w:t>补充实验二：为什么更多迭代不一定更好？</w:t>
      </w:r>
    </w:p>
    <w:p>
      <w:r>
        <w:drawing>
          <wp:inline xmlns:a="http://schemas.openxmlformats.org/drawingml/2006/main" xmlns:pic="http://schemas.openxmlformats.org/drawingml/2006/picture">
            <wp:extent cx="5940000" cy="178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ation_curv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图：训练CV均值；阴影为五折标准差，表示折间波动，不是置信区间。测试结果未用于绘制或选择曲线峰值。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  <w:cantSplit/>
        </w:trPr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训练CV R²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50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100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300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500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1000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2000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RF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0.4419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0.4377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0.4366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0.4366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0.4364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0.4376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原LightGBM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0.3709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0.3998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0.4095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0.3990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0.3709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0.3161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去冗余LightGBM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0.2206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0.3142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0.4013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0.4097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0.4036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0.3873</w:t>
            </w:r>
          </w:p>
        </w:tc>
      </w:tr>
    </w:tbl>
    <w:p>
      <w:r>
        <w:rPr>
          <w:b w:val="0"/>
        </w:rPr>
        <w:t>RF：500→2000棵时，CV R²约0.4366→0.4376，变化仅约+0.0010。更多树主要降低随机抽样带来的波动，无法补充缺失的解释变量；该随机种子下50棵的CV均值最高，但其测试R²为0.5380，低于500棵的0.5403。不能据此普遍宣称少树更好。</w:t>
      </w:r>
    </w:p>
    <w:p>
      <w:r>
        <w:rPr>
          <w:b w:val="0"/>
        </w:rPr>
        <w:t>原LightGBM：CV在300轮约0.4095，2000轮降至0.3160；去冗余LightGBM在500轮约0.4097，2000轮降至0.3873。提升树继续拟合训练残差，也可能逐步拟合噪声。因此“尚未收敛时增加迭代”和“过拟合后继续增加迭代”应分开判断。</w:t>
      </w:r>
    </w:p>
    <w:p>
      <w:r>
        <w:rPr>
          <w:b w:val="0"/>
        </w:rPr>
        <w:t>原LightGBM训练CV选择300轮，测试R²为0.5333，低于原500轮的0.5396。保留这次反例；训练内验证是合理的选型依据，但不能保证某一次固定测试划分必然提高。</w:t>
      </w:r>
    </w:p>
    <w:p>
      <w:r>
        <w:br w:type="page"/>
      </w:r>
    </w:p>
    <w:p>
      <w:pPr>
        <w:pStyle w:val="Heading1"/>
      </w:pPr>
      <w:r>
        <w:t>补充实验三：删异常值和缩尾的实际结果</w:t>
      </w:r>
    </w:p>
    <w:p>
      <w:r>
        <w:rPr>
          <w:b/>
        </w:rPr>
        <w:t>以下“异常”只是统计筛选标签，目前没有经实验记录核实的数据错误。删除规则均只作用于训练子集；273条测试记录全部保留。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按训练CV选中的规则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CV R² ±折间SD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测试R²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全训练集处理量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不新增处理（RF500）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0.4366 ± 0.0425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0.5403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保留1090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目标双尾剔除1%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0.4445 ± 0.0271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0.5442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删10，保留1080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IsolationForest 1%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0.4441 ± 0.0296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0.5337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删11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OOF绝对残差 1%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0.4429 ± 0.0467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0.5409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删11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目标双尾缩尾2%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0.4384 ± 0.0370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0.5355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不删，改20个训练目标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112000" cy="244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图含全部12种处理强度及对照；none_0为不新增处理。更激进的处理通常退化，例如目标双尾剔除5%的CV R²降至0.3597，不能靠多删样本稳定提高分数。</w:t>
      </w:r>
    </w:p>
    <w:p>
      <w:r>
        <w:br w:type="page"/>
      </w:r>
    </w:p>
    <w:p>
      <w:pPr>
        <w:pStyle w:val="Heading1"/>
      </w:pPr>
      <w:r>
        <w:t>补充实验四：完整结果和新增删样本清单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候选（各类别训练CV选中）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CV R²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测试R²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相对RF500 Δ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RF50 训练CV选中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0.4419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0.5380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-0.0023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原LightGBM：300轮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0.4095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0.5333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-0.0070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去冗余LightGBM：500轮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0.4097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0.4851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-0.0552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训练目标双尾剔除1%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0.4445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0.5442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+0.0039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训练目标双尾缩尾2%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0.4384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0.5355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-0.0048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IsolationForest 筛除1%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0.4441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0.5337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-0.0067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OOF残差筛除1%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0.4429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0.5409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+0.0005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梯度提升 Huber损失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0.3970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0.5240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-0.0163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匹配梯度提升 平方损失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0.3918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0.5363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-0.0040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RF500 对照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0.4366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0.5403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+0.0000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RF/SVR 各50%平均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0.4525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0.5432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+0.0029</w:t>
            </w:r>
          </w:p>
        </w:tc>
      </w:tr>
    </w:tbl>
    <w:p>
      <w:r>
        <w:rPr>
          <w:b w:val="0"/>
        </w:rPr>
        <w:t>Huber最佳训练CV约0.3970，匹配平方损失约0.3918；对应测试分别0.5240、0.5363，均低于RF500。Huber对大残差降低权重可能改善稳健性，但R²使用平方误差评价，二者优化目标并不完全相同。不能保证稳健损失使R²提高。</w:t>
      </w:r>
    </w:p>
    <w:p>
      <w:r>
        <w:rPr>
          <w:b w:val="0"/>
        </w:rPr>
        <w:t>简单平均：训练CV从RF的0.4366升至0.4525，折间SD从0.0425降至0.0298；测试仅从0.5403升至0.5432，MAE从0.5738降至0.5638。它没有新增删除样本，但需要训练两个模型，也使单一模型的重要性解释更复杂。</w:t>
      </w:r>
    </w:p>
    <w:p>
      <w:r>
        <w:rPr>
          <w:b w:val="0"/>
        </w:rPr>
        <w:t>目标双尾剔除1%的实际规则：在1090条训练样本的ln(1+Li)上取0.5%和99.5%分位点，低于下界或高于上界才剔除（边界并列保留）。换回原浓度，下界约0.2、上界约655.531；因此实际删10条，并非强制凑11条。</w:t>
      </w:r>
    </w:p>
    <w:p>
      <w:r>
        <w:rPr>
          <w:b w:val="0"/>
        </w:rPr>
        <w:t>原QSH Excel行号→Li：3→720；64→799；271→977；327→0；328→0；331→0；333→0；1284→660；1287→740；1288→820。其中4条为0，6条为660–977。零值可能涉及检出限或真实低值，高值也可能具有研究意义；这些解释尚未经来源记录核实。</w:t>
      </w:r>
    </w:p>
    <w:p>
      <w:r>
        <w:rPr>
          <w:b w:val="0"/>
        </w:rPr>
        <w:t>本轮最高观测测试R²=0.5442来自上述删尾部敏感性方案。相对原RF实跑0.5390总共约+0.0052，相对前次修改RF0.5403约+0.0039，不能称为明显突破，更不能把它视为删错值已得到证实。</w:t>
      </w:r>
    </w:p>
    <w:p>
      <w:r>
        <w:br w:type="page"/>
      </w:r>
    </w:p>
    <w:p>
      <w:pPr>
        <w:pStyle w:val="Heading1"/>
      </w:pPr>
      <w:r>
        <w:t>补充结论：瓶颈证据、推荐与组会表述</w:t>
      </w:r>
    </w:p>
    <w:p>
      <w:r>
        <w:rPr>
          <w:b/>
        </w:rPr>
        <w:t>已核实的事实</w:t>
      </w:r>
    </w:p>
    <w:p>
      <w:r>
        <w:rPr>
          <w:b w:val="0"/>
        </w:rPr>
        <w:t>① 23列中有18列提供完全线性重复的信息，去冗余后是6个独立数值方向，不能将列数当作独立信息量。② 气候变量之间高度相关。③ 存在完全相同输入对应不同Li的记录，例如原Excel行1289与1296，全部23个输入相同，Li却为10和450。④ 多类模型及本轮迭代／稳健／筛样本实验仍集中在相近的测试R²附近。</w:t>
      </w:r>
    </w:p>
    <w:p>
      <w:r>
        <w:rPr>
          <w:b w:val="0"/>
        </w:rPr>
        <w:t>上述事实支持“当前输入信息及数据质量值得优先核查”的判断，但不能证明0.54是数学上限。相同输入不同输出只说明这些记录无法被仅依赖当前X的确定性模型同时精确拟合。该冲突究竟来自未观测地质、水化学、采样层位/时间等因素，还是环境栅格分辨率、字段提取、单位或记录误差，需要进一步证据。候选缺失因素是待核实解释，当前数据无法确定其贡献。</w:t>
      </w:r>
    </w:p>
    <w:p>
      <w:r>
        <w:rPr>
          <w:b/>
        </w:rPr>
        <w:t>下一步的实际优先级</w:t>
      </w:r>
    </w:p>
    <w:p>
      <w:r>
        <w:rPr>
          <w:b w:val="0"/>
        </w:rPr>
        <w:t>优先核对18个重复字段的原始提取过程及单位、零值与高值的实验记录、重复环境输入对应不同Li的采样条件。若原始信息有误，修复后重新建模；若存在真实差异，再考虑补充有物理依据且预测时可取得的变量。收集与核实数据有时间成本，应先查可疑字段，再决定是否做更多调参。</w:t>
      </w:r>
    </w:p>
    <w:p>
      <w:r>
        <w:rPr>
          <w:b w:val="0"/>
        </w:rPr>
        <w:t>当前建议：主分析保留不新增删样本的RF及已有完整结果；0.5442删尾部模型作为敏感性分析，RF/SVR平均作为预测补充。不要为追分数直接把它们替换成最终物理影响结论。若要给组合模型报告因子重要性，应重新对组合预测函数评价，不能直接平均两个模型的原始重要性数值。</w:t>
      </w:r>
    </w:p>
    <w:p>
      <w:r>
        <w:rPr>
          <w:b w:val="0"/>
        </w:rPr>
        <w:t>验证限制：本测试集已在此前开发中多次查看，属于内部开发验证。本轮虽然没有用测试分数选参数，也没有删除测试点，但持续试验仍可能产生选择乐观；小幅增益需要新样本或预先固定的独立验证确认。此处未做可支持“统计显著提升”的独立检验。没有证据保证R²能达到0.7或0.8，也没有证据证明继续研究一定无效。</w:t>
      </w:r>
    </w:p>
    <w:p>
      <w:r>
        <w:rPr>
          <w:b w:val="0"/>
        </w:rPr>
        <w:t>组会可直接表述：“我们没有把目前R²当作上限。本轮增加了迭代曲线、稳健损失、训练内异常样本处理和简单集成；完整测试集仍保留273条。最高观测R²为0.5442，但依赖删去训练尾部10条记录；不新增删样本的集成为0.5432。增益都很小，下一阶段应优先核查重复字段及同输入不同Li的来源，而不是保证通过加迭代或删点实现大幅提升。”</w:t>
      </w:r>
    </w:p>
    <w:p>
      <w:r>
        <w:rPr>
          <w:b w:val="0"/>
        </w:rPr>
        <w:t>复现：additional_experiments/frozen_data.npz保存清洗后数组、固定划分与源Excel行号。安装父目录requirements.txt后，执行python run_additional.py及python ensemble_check.py即可重跑本轮；frozen_data来自原QSH及原清洗规则，源文件哈希见主目录source_manifest.json。全部逐折记录与删样本行号保留；models/缓存不属于交付必需文件。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/>
    <w:fldSimple w:instr="PAGE"/>
    <w:r>
      <w:t xml:space="preserve"> 页 / 共 </w:t>
    </w:r>
    <w:r/>
    <w:fldSimple w:instr="NUMPAGES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Li浓度回归｜四方法复现、修改与解释核查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03D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03D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03D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Calibri" w:hAnsi="Calibri" w:eastAsia="微软雅黑"/>
      <w:color w:val="203D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多环境因子与Li浓度关系：四种回归模型复现与改进记录</dc:title>
  <dc:subject>组会汇报材料</dc:subject>
  <dc:creator>Li浓度建模分析</dc:creator>
  <cp:keywords>Li, RF, SVR, LightGBM, MLP, 回归, 变量重要性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