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ults-and-discussion"/>
    <w:p>
      <w:pPr>
        <w:pStyle w:val="Heading2"/>
      </w:pPr>
      <w:r>
        <w:t xml:space="preserve">Results and discussion</w:t>
      </w:r>
    </w:p>
    <w:bookmarkStart w:id="9" w:name="X0061a2edcfe40b2d453bb9874398cd93c17a9d9"/>
    <w:p>
      <w:pPr>
        <w:pStyle w:val="Heading3"/>
      </w:pPr>
      <w:r>
        <w:t xml:space="preserve">Short-time OPA motion in pure solvents (Figure 2)</w:t>
      </w:r>
    </w:p>
    <w:p>
      <w:pPr>
        <w:pStyle w:val="FirstParagraph"/>
      </w:pPr>
      <w:r>
        <w:t xml:space="preserve">The centre-of-mass displacement traces in 14 pure solvents reveal differences in the magnitude and temporal evolution of OPA excursions over 10 ps (Figure 2a). In n-heptane, the displacement reached 7.127 Å at 8.8 ps and remained at 6.063 Å at 10 ps, the largest final displacement among the pure solvents. DMC, CPME and toluene also retained substantial displacements from the initial position, ending at 5.044, 4.894 and 4.828 Å, respectively. By contrast, isopropanol reached an early maximum of 2.590 Å at 1.7 ps before returning to 0.647 Å at 10 ps. DMC and CPME reached their maxima at 9.3 and 9.7 ps, respectively, placing their largest excursions near the end of the observation period. The legend is ordered by decreasing final displacement and therefore follows the vertical order of the curve endpoints.</w:t>
      </w:r>
    </w:p>
    <w:p>
      <w:pPr>
        <w:pStyle w:val="BodyText"/>
      </w:pPr>
      <w:r>
        <w:t xml:space="preserve">These traces measure distance from a fixed initial position: a decrease indicates that OPA moved closer to that position, rather than a reduction in cumulative distance travelled. In acetone, the displacement reached 4.351 Å at 4.2 ps and decreased to 3.015 Å at 10 ps, contrasting with the larger final displacement in n-heptane. The simulation snapshot in Figure 2b shows OPA surrounded by pure n-heptane and provides structural context for the dynamical comparison. A single configuration does not quantify solvation strength, interaction lifetimes or adsorption propensity.</w:t>
      </w:r>
    </w:p>
    <w:p>
      <w:pPr>
        <w:pStyle w:val="BodyText"/>
      </w:pPr>
      <w:r>
        <w:t xml:space="preserve">The vertical coordinate in Figure 2c is the effective TAMSD scaling exponent,</w:t>
      </w:r>
      <w:r>
        <w:t xml:space="preserve"> </w:t>
      </w:r>
      <m:oMath>
        <m:r>
          <m:t>α</m:t>
        </m:r>
      </m:oMath>
      <w:r>
        <w:t xml:space="preserve">, which describes growth with lag time rather than the magnitude of TAMSD itself. In the power-law framework used by Kepten et al.,</w:t>
      </w:r>
      <w:r>
        <w:t xml:space="preserve"> </w:t>
      </w:r>
      <m:oMath>
        <m:r>
          <m:t>α</m:t>
        </m:r>
        <m:r>
          <m:rPr>
            <m:sty m:val="p"/>
          </m:rPr>
          <m:t>=</m:t>
        </m:r>
        <m:r>
          <m:t>1</m:t>
        </m:r>
      </m:oMath>
      <w:r>
        <w:t xml:space="preserve"> </w:t>
      </w:r>
      <w:r>
        <w:t xml:space="preserve">corresponds to the linear MSD scaling of normal diffusion, whereas</w:t>
      </w:r>
      <w:r>
        <w:t xml:space="preserve"> </w:t>
      </w:r>
      <m:oMath>
        <m:r>
          <m:t>α</m:t>
        </m:r>
        <m:r>
          <m:rPr>
            <m:sty m:val="p"/>
          </m:rPr>
          <m:t>&lt;</m:t>
        </m:r>
        <m:r>
          <m:t>1</m:t>
        </m:r>
      </m:oMath>
      <w:r>
        <w:t xml:space="preserve"> </w:t>
      </w:r>
      <w:r>
        <w:t xml:space="preserve">and</w:t>
      </w:r>
      <w:r>
        <w:t xml:space="preserve"> </w:t>
      </w:r>
      <m:oMath>
        <m:r>
          <m:t>α</m:t>
        </m:r>
        <m:r>
          <m:rPr>
            <m:sty m:val="p"/>
          </m:rPr>
          <m:t>&gt;</m:t>
        </m:r>
        <m:r>
          <m:t>1</m:t>
        </m:r>
      </m:oMath>
      <w:r>
        <w:t xml:space="preserve"> </w:t>
      </w:r>
      <w:r>
        <w:t xml:space="preserve">describe sublinear and superlinear growth, respectively [1]. Within this physical framework, the present figure uses four display intervals:</w:t>
      </w:r>
      <w:r>
        <w:t xml:space="preserve"> </w:t>
      </w:r>
      <m:oMath>
        <m:r>
          <m:t>α</m:t>
        </m:r>
        <m:r>
          <m:rPr>
            <m:sty m:val="p"/>
          </m:rPr>
          <m:t>&lt;</m:t>
        </m:r>
        <m:r>
          <m:t>0.6</m:t>
        </m:r>
      </m:oMath>
      <w:r>
        <w:t xml:space="preserve">,</w:t>
      </w:r>
      <w:r>
        <w:t xml:space="preserve"> </w:t>
      </w:r>
      <m:oMath>
        <m:r>
          <m:t>0.6</m:t>
        </m:r>
        <m:r>
          <m:rPr>
            <m:sty m:val="p"/>
          </m:rPr>
          <m:t>≤</m:t>
        </m:r>
        <m:r>
          <m:t>α</m:t>
        </m:r>
        <m:r>
          <m:rPr>
            <m:sty m:val="p"/>
          </m:rPr>
          <m:t>&lt;</m:t>
        </m:r>
        <m:r>
          <m:t>0.8</m:t>
        </m:r>
      </m:oMath>
      <w:r>
        <w:t xml:space="preserve">,</w:t>
      </w:r>
      <w:r>
        <w:t xml:space="preserve"> </w:t>
      </w:r>
      <m:oMath>
        <m:r>
          <m:t>0.8</m:t>
        </m:r>
        <m:r>
          <m:rPr>
            <m:sty m:val="p"/>
          </m:rPr>
          <m:t>≤</m:t>
        </m:r>
        <m:r>
          <m:t>α</m:t>
        </m:r>
        <m:r>
          <m:rPr>
            <m:sty m:val="p"/>
          </m:rPr>
          <m:t>&lt;</m:t>
        </m:r>
        <m:r>
          <m:t>1.0</m:t>
        </m:r>
      </m:oMath>
      <w:r>
        <w:t xml:space="preserve"> </w:t>
      </w:r>
      <w:r>
        <w:t xml:space="preserve">and</w:t>
      </w:r>
      <w:r>
        <w:t xml:space="preserve"> </w:t>
      </w:r>
      <m:oMath>
        <m:r>
          <m:t>α</m:t>
        </m:r>
        <m:r>
          <m:rPr>
            <m:sty m:val="p"/>
          </m:rPr>
          <m:t>≥</m:t>
        </m:r>
        <m:r>
          <m:t>1.0</m:t>
        </m:r>
      </m:oMath>
      <w:r>
        <w:t xml:space="preserve">. The first three describe progressively less sublinear growth approaching the linear scaling of normal diffusion, while the last includes the linear boundary and superlinear growth. These fitted exponents characterize the selected lag-time window rather than independently establishing long-time transport mechanisms.</w:t>
      </w:r>
    </w:p>
    <w:p>
      <w:pPr>
        <w:pStyle w:val="BodyText"/>
      </w:pPr>
      <w:r>
        <w:t xml:space="preserve">Ethyl acetate, isopropanol, propylene carbonate and p-xylene occupied the</w:t>
      </w:r>
      <w:r>
        <w:t xml:space="preserve"> </w:t>
      </w:r>
      <m:oMath>
        <m:r>
          <m:t>α</m:t>
        </m:r>
        <m:r>
          <m:rPr>
            <m:sty m:val="p"/>
          </m:rPr>
          <m:t>&lt;</m:t>
        </m:r>
        <m:r>
          <m:t>0.6</m:t>
        </m:r>
      </m:oMath>
      <w:r>
        <w:t xml:space="preserve"> </w:t>
      </w:r>
      <w:r>
        <w:t xml:space="preserve">region, while cyclohexane, methanol and THF fell within the pale blue</w:t>
      </w:r>
      <w:r>
        <w:t xml:space="preserve"> </w:t>
      </w:r>
      <m:oMath>
        <m:r>
          <m:t>0.6</m:t>
        </m:r>
        <m:r>
          <m:rPr>
            <m:sty m:val="p"/>
          </m:rPr>
          <m:t>≤</m:t>
        </m:r>
        <m:r>
          <m:t>α</m:t>
        </m:r>
        <m:r>
          <m:rPr>
            <m:sty m:val="p"/>
          </m:rPr>
          <m:t>&lt;</m:t>
        </m:r>
        <m:r>
          <m:t>0.8</m:t>
        </m:r>
      </m:oMath>
      <w:r>
        <w:t xml:space="preserve"> </w:t>
      </w:r>
      <w:r>
        <w:t xml:space="preserve">band. The pale orange</w:t>
      </w:r>
      <w:r>
        <w:t xml:space="preserve"> </w:t>
      </w:r>
      <m:oMath>
        <m:r>
          <m:t>0.8</m:t>
        </m:r>
        <m:r>
          <m:rPr>
            <m:sty m:val="p"/>
          </m:rPr>
          <m:t>≤</m:t>
        </m:r>
        <m:r>
          <m:t>α</m:t>
        </m:r>
        <m:r>
          <m:rPr>
            <m:sty m:val="p"/>
          </m:rPr>
          <m:t>&lt;</m:t>
        </m:r>
        <m:r>
          <m:t>1.0</m:t>
        </m:r>
      </m:oMath>
      <w:r>
        <w:t xml:space="preserve"> </w:t>
      </w:r>
      <w:r>
        <w:t xml:space="preserve">band contained n-heptane, acetone, toluene, ethanol and acetonitrile, whose TAMSD growth was closer to linear. CPME and DMC had exponents of 1.105 and 1.031, respectively, indicating superlinear growth within the fitted window. Vertical comparisons therefore distinguish temporal scaling; a higher exponent does not necessarily indicate better performance in promoting OPA motion or film formation.</w:t>
      </w:r>
    </w:p>
    <w:p>
      <w:pPr>
        <w:pStyle w:val="BodyText"/>
      </w:pPr>
      <w:r>
        <w:t xml:space="preserve">The horizontal coordinate,</w:t>
      </w:r>
      <w:r>
        <w:t xml:space="preserve"> </w:t>
      </w:r>
      <m:oMath>
        <m:sSub>
          <m:e>
            <m:r>
              <m:t>K</m:t>
            </m:r>
          </m:e>
          <m:sub>
            <m:r>
              <m:t>α</m:t>
            </m:r>
          </m:sub>
        </m:sSub>
      </m:oMath>
      <w:r>
        <w:t xml:space="preserve">, provides complementary information on displacement amplitude. At a fixed</w:t>
      </w:r>
      <w:r>
        <w:t xml:space="preserve"> </w:t>
      </w:r>
      <m:oMath>
        <m:r>
          <m:t>α</m:t>
        </m:r>
      </m:oMath>
      <w:r>
        <w:t xml:space="preserve">, increasing</w:t>
      </w:r>
      <w:r>
        <w:t xml:space="preserve"> </w:t>
      </w:r>
      <m:oMath>
        <m:sSub>
          <m:e>
            <m:r>
              <m:t>K</m:t>
            </m:r>
          </m:e>
          <m:sub>
            <m:r>
              <m:t>α</m:t>
            </m:r>
          </m:sub>
        </m:sSub>
      </m:oMath>
      <w:r>
        <w:t xml:space="preserve"> </w:t>
      </w:r>
      <w:r>
        <w:t xml:space="preserve">raises the fitted TAMSD at every lag. When exponents differ, amplitudes are compared at a common reference lag of 1 ps using</w:t>
      </w:r>
      <w:r>
        <w:t xml:space="preserve"> </w:t>
      </w:r>
      <m:oMath>
        <m:sSub>
          <m:e>
            <m:r>
              <m:t>A</m:t>
            </m:r>
          </m:e>
          <m:sub>
            <m:r>
              <m:t>1</m:t>
            </m:r>
            <m:r>
              <m:rPr>
                <m:sty m:val="p"/>
              </m:rPr>
              <m:t>p</m:t>
            </m:r>
            <m:r>
              <m:rPr>
                <m:sty m:val="p"/>
              </m:rPr>
              <m:t>s</m:t>
            </m:r>
          </m:sub>
        </m:sSub>
        <m:r>
          <m:rPr>
            <m:sty m:val="p"/>
          </m:rPr>
          <m:t>=</m:t>
        </m:r>
        <m:sSub>
          <m:e>
            <m:r>
              <m:t>K</m:t>
            </m:r>
          </m:e>
          <m:sub>
            <m:r>
              <m:t>α</m:t>
            </m:r>
          </m:sub>
        </m:sSub>
        <m:r>
          <m:rPr>
            <m:sty m:val="p"/>
          </m:rPr>
          <m:t>(</m:t>
        </m:r>
        <m:r>
          <m:t>1</m:t>
        </m:r>
        <m:r>
          <m:t> </m:t>
        </m:r>
        <m:r>
          <m:rPr>
            <m:sty m:val="p"/>
          </m:rPr>
          <m:t>p</m:t>
        </m:r>
        <m:r>
          <m:rPr>
            <m:sty m:val="p"/>
          </m:rPr>
          <m:t>s</m:t>
        </m:r>
        <m:sSup>
          <m:e>
            <m:r>
              <m:rPr>
                <m:sty m:val="p"/>
              </m:rPr>
              <m:t>)</m:t>
            </m:r>
          </m:e>
          <m:sup>
            <m:r>
              <m:t>α</m:t>
            </m:r>
          </m:sup>
        </m:sSup>
      </m:oMath>
      <w:r>
        <w:t xml:space="preserve">, which has consistent units across systems. With time expressed in ps,</w:t>
      </w:r>
      <w:r>
        <w:t xml:space="preserve"> </w:t>
      </w:r>
      <m:oMath>
        <m:sSub>
          <m:e>
            <m:r>
              <m:t>A</m:t>
            </m:r>
          </m:e>
          <m:sub>
            <m:r>
              <m:t>1</m:t>
            </m:r>
            <m:r>
              <m:rPr>
                <m:sty m:val="p"/>
              </m:rPr>
              <m:t>p</m:t>
            </m:r>
            <m:r>
              <m:rPr>
                <m:sty m:val="p"/>
              </m:rPr>
              <m:t>s</m:t>
            </m:r>
          </m:sub>
        </m:sSub>
      </m:oMath>
      <w:r>
        <w:t xml:space="preserve"> </w:t>
      </w:r>
      <w:r>
        <w:t xml:space="preserve">is numerically equal to the reported</w:t>
      </w:r>
      <w:r>
        <w:t xml:space="preserve"> </w:t>
      </w:r>
      <m:oMath>
        <m:sSub>
          <m:e>
            <m:r>
              <m:t>K</m:t>
            </m:r>
          </m:e>
          <m:sub>
            <m:r>
              <m:t>α</m:t>
            </m:r>
          </m:sub>
        </m:sSub>
      </m:oMath>
      <w:r>
        <w:t xml:space="preserve">; movement to the right thus indicates a larger fitted mean-squared displacement at the reference lag. Propylene carbonate had the smallest amplitude, 0.490 Å², whereas n-heptane and acetone ranked first and second at 1.722 and 1.694 Å². Although CPME and DMC had higher exponents, their amplitudes of 1.573 and 1.310 Å² were lower than those of n-heptane and acetone.</w:t>
      </w:r>
    </w:p>
    <w:p>
      <w:pPr>
        <w:pStyle w:val="BodyText"/>
      </w:pPr>
      <w:r>
        <w:t xml:space="preserve">Considering both coordinates, n-heptane and acetone combined exponents in the near-linear</w:t>
      </w:r>
      <w:r>
        <w:t xml:space="preserve"> </w:t>
      </w:r>
      <m:oMath>
        <m:r>
          <m:t>0.8</m:t>
        </m:r>
        <m:r>
          <m:rPr>
            <m:sty m:val="p"/>
          </m:rPr>
          <m:t>≤</m:t>
        </m:r>
        <m:r>
          <m:t>α</m:t>
        </m:r>
        <m:r>
          <m:rPr>
            <m:sty m:val="p"/>
          </m:rPr>
          <m:t>&lt;</m:t>
        </m:r>
        <m:r>
          <m:t>1.0</m:t>
        </m:r>
      </m:oMath>
      <w:r>
        <w:t xml:space="preserve"> </w:t>
      </w:r>
      <w:r>
        <w:t xml:space="preserve">interval, at 0.906 and 0.876, with the two largest TAMSD prefactors among the pure solvents. This combination of large displacement amplitude and nearly linear temporal growth identifies favourable short-time OPA translational dynamics in both solvents, consistent with their favourable experimental performance.</w:t>
      </w:r>
    </w:p>
    <w:bookmarkEnd w:id="9"/>
    <w:bookmarkStart w:id="10" w:name="X5ada2447e7618a0d86e5e5a50dd5f6cef54784e"/>
    <w:p>
      <w:pPr>
        <w:pStyle w:val="Heading3"/>
      </w:pPr>
      <w:r>
        <w:t xml:space="preserve">Composition-dependent OPA motion in mixed solvents (Figure 3)</w:t>
      </w:r>
    </w:p>
    <w:p>
      <w:pPr>
        <w:pStyle w:val="FirstParagraph"/>
      </w:pPr>
      <w:r>
        <w:t xml:space="preserve">Figure 3a shows the solvent environment around OPA in 5% acetone/95% n-heptane. Comparison with the pure n-heptane model in Figure 2b illustrates the change in composition, but the local arrangement in a single snapshot does not establish preferential enrichment of acetone around OPA. Figure 3b compares the complete three-dimensional centre-of-mass trajectories in this mixture, pure n-heptane and pure acetone. Each trajectory is referenced to its own initial position, with black circles and coloured squares marking the start and end.</w:t>
      </w:r>
    </w:p>
    <w:p>
      <w:pPr>
        <w:pStyle w:val="BodyText"/>
      </w:pPr>
      <w:r>
        <w:t xml:space="preserve">The acetone concentration series exhibited a non-monotonic dynamical response (Figure 3c). Among the seven compositions, the 5% mixture had the largest fitted amplitude,</w:t>
      </w:r>
      <w:r>
        <w:t xml:space="preserve"> </w:t>
      </w:r>
      <m:oMath>
        <m:sSub>
          <m:e>
            <m:r>
              <m:t>A</m:t>
            </m:r>
          </m:e>
          <m:sub>
            <m:r>
              <m:t>1</m:t>
            </m:r>
            <m:r>
              <m:rPr>
                <m:sty m:val="p"/>
              </m:rPr>
              <m:t>p</m:t>
            </m:r>
            <m:r>
              <m:rPr>
                <m:sty m:val="p"/>
              </m:rPr>
              <m:t>s</m:t>
            </m:r>
          </m:sub>
        </m:sSub>
        <m:r>
          <m:rPr>
            <m:sty m:val="p"/>
          </m:rPr>
          <m:t>=</m:t>
        </m:r>
        <m:r>
          <m:t>1.984</m:t>
        </m:r>
      </m:oMath>
      <w:r>
        <w:t xml:space="preserve"> </w:t>
      </w:r>
      <w:r>
        <w:t xml:space="preserve">Å², with</w:t>
      </w:r>
      <w:r>
        <w:t xml:space="preserve"> </w:t>
      </w:r>
      <m:oMath>
        <m:r>
          <m:t>α</m:t>
        </m:r>
        <m:r>
          <m:rPr>
            <m:sty m:val="p"/>
          </m:rPr>
          <m:t>=</m:t>
        </m:r>
        <m:r>
          <m:t>0.861</m:t>
        </m:r>
      </m:oMath>
      <w:r>
        <w:t xml:space="preserve">. The 1% mixture had a similar exponent, 0.860, but a smaller amplitude of 1.580 Å². Increasing the acetone fraction to 10% and 20% reduced the amplitude to 1.650 and 1.366 Å² while raising the exponent to 0.890 and 0.966, respectively. The 20% mixture thus showed the most nearly linear TAMSD growth, rather than the largest reference-lag amplitude. At 30% acetone, the exponent decreased to 0.450 before recovering to 0.744 and 0.807 at 40% and 50%. The corresponding amplitudes were 1.127, 1.031 and 1.417 Å². Increasing acetone content consequently did not produce a sustained increase in short-time displacement amplitude.</w:t>
      </w:r>
    </w:p>
    <w:p>
      <w:pPr>
        <w:pStyle w:val="BodyText"/>
      </w:pPr>
      <w:r>
        <w:t xml:space="preserve">The complete displacement traces provide complementary evidence (Figure 3d). This panel contains 11 distinct mixtures from the concentration and fixed-ratio composition series, with the shared 5% acetone/95% n-heptane trajectory plotted once. The 5% acetone mixture reached a maximum displacement of 5.362 Å at 8.8 ps and retained 4.357 Å at 10 ps, the highest maximum and final displacements among these mixtures. The 10% acetone mixture ranked second in final displacement, at 3.794 Å. The final values for 20% acetone, 5% toluene and 5% isopropanol in n-heptane were close, at 3.071, 3.065 and 3.037 Å, respectively; single trajectories do not resolve a reliable ranking of their underlying mobilities. In contrast, 5% THF/95% n-heptane reached 2.173 Å at 2.3 ps and ended at 1.084 Å, indicating an early excursion followed by a return towards the starting position.</w:t>
      </w:r>
    </w:p>
    <w:p>
      <w:pPr>
        <w:pStyle w:val="BodyText"/>
      </w:pPr>
      <w:r>
        <w:t xml:space="preserve">Among the five mixtures at a nominal volume ratio of 5:95, changing the components affected both fitted amplitude and exponent (Figure 3e). The largest amplitude occurred in 5% acetone/95% n-heptane, followed by 5% isopropanol/95% n-heptane, with</w:t>
      </w:r>
      <w:r>
        <w:t xml:space="preserve"> </w:t>
      </w:r>
      <m:oMath>
        <m:sSub>
          <m:e>
            <m:r>
              <m:t>A</m:t>
            </m:r>
          </m:e>
          <m:sub>
            <m:r>
              <m:t>1</m:t>
            </m:r>
            <m:r>
              <m:rPr>
                <m:sty m:val="p"/>
              </m:rPr>
              <m:t>p</m:t>
            </m:r>
            <m:r>
              <m:rPr>
                <m:sty m:val="p"/>
              </m:rPr>
              <m:t>s</m:t>
            </m:r>
          </m:sub>
        </m:sSub>
        <m:r>
          <m:rPr>
            <m:sty m:val="p"/>
          </m:rPr>
          <m:t>=</m:t>
        </m:r>
        <m:r>
          <m:t>1.578</m:t>
        </m:r>
      </m:oMath>
      <w:r>
        <w:t xml:space="preserve"> </w:t>
      </w:r>
      <w:r>
        <w:t xml:space="preserve">Å² and</w:t>
      </w:r>
      <w:r>
        <w:t xml:space="preserve"> </w:t>
      </w:r>
      <m:oMath>
        <m:r>
          <m:t>α</m:t>
        </m:r>
        <m:r>
          <m:rPr>
            <m:sty m:val="p"/>
          </m:rPr>
          <m:t>=</m:t>
        </m:r>
        <m:r>
          <m:t>0.821</m:t>
        </m:r>
      </m:oMath>
      <w:r>
        <w:t xml:space="preserve">. The 5% toluene/95% n-heptane mixture had the highest exponent, 0.919, but a smaller amplitude of 1.136 Å². The lowest exponent, 0.516, occurred in 5% THF/95% n-heptane, whose amplitude was 0.957 Å². Replacing n-heptane with toluene as the major solvent raised the exponent of the 5% THF mixture to 0.697 but reduced its amplitude to 0.879 Å². Cosolvent and major-solvent identity therefore influenced displacement amplitude and temporal scaling in different ways.</w:t>
      </w:r>
    </w:p>
    <w:p>
      <w:pPr>
        <w:pStyle w:val="BodyText"/>
      </w:pPr>
      <w:r>
        <w:t xml:space="preserve">Together, Figures 2 and 3 show that adding 5% acetone to n-heptane increased the fitted TAMSD at 1 ps from 1.722 to 1.984 Å², while reducing the maximum displacement from 7.127 to 5.362 Å and the final displacement from 6.063 to 4.357 Å. The mixture therefore stands out in its reference-lag amplitude and, within the tested mixtures, its maximum and final excursions; it does not exceed pure n-heptane in every measure of motion. These observations are compatible with the favourable experimental performance of the mixture of 95% n-heptaneand and 5% acetone, providing a short-time translational perspective on those outcomes.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2026-09-17T05:58:09Z</dcterms:created>
  <dcterms:modified xsi:type="dcterms:W3CDTF">2026-09-17T05:58:09Z</dcterms:modified>
</cp:coreProperties>
</file>

<file path=docProps/custom.xml><?xml version="1.0" encoding="utf-8"?>
<Properties xmlns="http://schemas.openxmlformats.org/officeDocument/2006/custom-properties" xmlns:vt="http://schemas.openxmlformats.org/officeDocument/2006/docPropsVTypes"/>
</file>