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4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上海国际传媒港，是中央广播电视总台长三角总部和上海总站所在地，坐落于上海徐汇滨江，总建筑面积26.5万平方米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幕墙面积约3.6万平方米。项目分为M1、M2、M3、M4共4栋楼。</w:t>
      </w:r>
    </w:p>
    <w:p>
      <w:pPr>
        <w:ind w:firstLine="540" w:firstLineChars="200"/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上海国际传媒港，采用峡谷状围合空间汇聚活力，序列式轴线串联功能地块，塑造标志性景观形成区域地标，构筑多层次阶梯状城市天际线。其建筑设计极具创造性与想象力，将传媒、文化、科技未来的可能性与上海城市未来发展的可能性都熔铸其中，将成为具有国际影响力的创意、文化、传媒产业聚集区。</w:t>
      </w:r>
    </w:p>
    <w:p>
      <w:pPr>
        <w:ind w:firstLine="54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整体具有面板种类繁多、幕墙造型复杂、外观细节要求严格等特点，项目包含框架式玻璃幕墙、单元式玻璃幕墙、铝板幕墙、金属屋面等幕墙系统。外立面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带竖向大装饰线条的 错位双曲面单元式幕墙，装饰线条表面设置不同颜色且呈一定规律分布，且层间为进退变化的造型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与其他立面的装饰线条交相辉映、极具动感。建筑整体通过立面的内倾斜和外倾斜，从而形成外倾外凸的错位双曲面幕墙造型，人们行走其间时，仿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正在弹奏着一曲曲美妙的音符。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其幕墙承建企业是金刚幕墙集团有限公司，玻璃品牌是信义玻璃。</w:t>
      </w:r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  <w:lang w:val="en-US" w:eastAsia="zh-CN"/>
        </w:rPr>
        <w:t>我是小雨关注我了解更多玻璃小知识，我们下期再见。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06C7D"/>
    <w:rsid w:val="0BF06C7D"/>
    <w:rsid w:val="253670A5"/>
    <w:rsid w:val="48345454"/>
    <w:rsid w:val="5D8F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459</Words>
  <Characters>468</Characters>
  <Lines>0</Lines>
  <Paragraphs>0</Paragraphs>
  <TotalTime>1</TotalTime>
  <ScaleCrop>false</ScaleCrop>
  <LinksUpToDate>false</LinksUpToDate>
  <CharactersWithSpaces>469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2022-02-23T05:47:00Z</dcterms:created>
  <dc:creator>Administrator</dc:creator>
  <cp:lastModifiedBy>Administrator</cp:lastModifiedBy>
  <dcterms:modified xsi:type="dcterms:W3CDTF">2022-04-02T00:46:29Z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C8971D95FCCF4A5298CB3CBE85D22247</vt:lpwstr>
  </property>
</Properties>
</file>