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textAlignment w:val="auto"/>
        <w:rPr>
          <w:rFonts w:hint="eastAsia"/>
          <w:sz w:val="22"/>
          <w:szCs w:val="28"/>
        </w:rPr>
      </w:pPr>
      <w:r>
        <w:rPr>
          <w:rFonts w:hint="eastAsia"/>
          <w:sz w:val="22"/>
          <w:szCs w:val="28"/>
        </w:rPr>
        <w:t>由天安门广场向北，一路掠过故宫、鸟巢、水立方、中国国家体育馆、中国国家会议中心...在奥林匹克公园的核心区，屹立着一座恢弘大气的建筑，它就是亚投行总部办公大楼——北京亚洲金融大厦。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textAlignment w:val="auto"/>
        <w:rPr>
          <w:rFonts w:hint="eastAsia"/>
          <w:sz w:val="22"/>
          <w:szCs w:val="28"/>
        </w:rPr>
      </w:pPr>
      <w:r>
        <w:rPr>
          <w:rFonts w:hint="eastAsia"/>
          <w:sz w:val="22"/>
          <w:szCs w:val="28"/>
        </w:rPr>
        <w:t>亚投行总部大楼总建筑面积39万平方米，整体用钢量11万吨，相当于两个“鸟巢”外部钢结构用量。亚投行总部大楼的设计启动国际征集，最终，以“鲁班锁”为设计理念，从高空俯视为“中国结”造型，寓意“中国结、连接世界”的方案</w:t>
      </w:r>
      <w:r>
        <w:rPr>
          <w:rFonts w:hint="eastAsia"/>
          <w:sz w:val="22"/>
          <w:szCs w:val="28"/>
          <w:lang w:eastAsia="zh-CN"/>
        </w:rPr>
        <w:t>，</w:t>
      </w:r>
      <w:r>
        <w:rPr>
          <w:rFonts w:hint="eastAsia"/>
          <w:sz w:val="22"/>
          <w:szCs w:val="28"/>
        </w:rPr>
        <w:t>从国内外众多应征方案中脱颖而出。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textAlignment w:val="auto"/>
        <w:rPr>
          <w:rFonts w:hint="eastAsia" w:eastAsiaTheme="minorEastAsia"/>
          <w:sz w:val="22"/>
          <w:szCs w:val="28"/>
          <w:lang w:eastAsia="zh-CN"/>
        </w:rPr>
      </w:pPr>
      <w:r>
        <w:rPr>
          <w:rFonts w:hint="eastAsia"/>
          <w:sz w:val="22"/>
          <w:szCs w:val="28"/>
        </w:rPr>
        <w:t>亚投行总部大楼外立面采用的是气候主动性双层幕墙，遮阳设施不暴露在外，而是“藏”在双层幕墙的玻璃腔体内，由镂刻有中国特色图案的竖向百叶构成。不仔细观察，可能都发现不了它的“踪迹”。双层幕墙系统还允许大面积的通透性，可以为办公提供最好的自然采光效果，减少人工照明使用。</w:t>
      </w:r>
      <w:r>
        <w:rPr>
          <w:rFonts w:hint="eastAsia"/>
          <w:sz w:val="22"/>
          <w:szCs w:val="28"/>
          <w:lang w:eastAsia="zh-CN"/>
        </w:rPr>
        <w:t>其幕墙承建企业为苏州柯利达装饰有限公司，玻璃品牌是耀皮。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textAlignment w:val="auto"/>
        <w:rPr>
          <w:rFonts w:hint="eastAsia"/>
          <w:sz w:val="22"/>
          <w:szCs w:val="28"/>
        </w:rPr>
      </w:pPr>
      <w:r>
        <w:rPr>
          <w:rFonts w:hint="eastAsia"/>
          <w:sz w:val="22"/>
          <w:szCs w:val="28"/>
        </w:rPr>
        <w:t>亚投行是第一个座落于我国的国际组织总部，在国际经济、金融版图中具有非同一般的重要意义。项目的建成，不仅具有重大国际影响力，也是我国基础设施建设领域面向世界显示中国智造、中国力量，助力“一带一路”国家级顶层合作倡议的标志性建筑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textAlignment w:val="auto"/>
        <w:rPr>
          <w:rFonts w:hint="default" w:eastAsiaTheme="minorEastAsia"/>
          <w:sz w:val="22"/>
          <w:szCs w:val="28"/>
          <w:lang w:val="en-US" w:eastAsia="zh-CN"/>
        </w:rPr>
      </w:pPr>
      <w:r>
        <w:rPr>
          <w:rFonts w:hint="eastAsia"/>
          <w:sz w:val="22"/>
          <w:szCs w:val="28"/>
          <w:lang w:eastAsia="zh-CN"/>
        </w:rPr>
        <w:t>关注我了解更多玻璃小知识，我们下期再见。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CFD43FC"/>
    <w:rsid w:val="27626A72"/>
    <w:rsid w:val="2CFD43FC"/>
    <w:rsid w:val="3F2D614E"/>
    <w:rsid w:val="617303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Office_11.1.0.11115_F1E327BC-269C-435d-A152-05C5408002CA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2021-11-15T06:12:00Z</dcterms:created>
  <dc:creator>金建军(聚玻网)</dc:creator>
  <cp:lastModifiedBy>金建军(聚玻网)</cp:lastModifiedBy>
  <dcterms:modified xsi:type="dcterms:W3CDTF">2021-12-15T00:20:48Z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2052-11.1.0.11115</vt:lpwstr>
  </property>
  <property fmtid="{D5CDD505-2E9C-101B-9397-08002B2CF9AE}" pid="3" name="ICV">
    <vt:lpwstr>2837C768A156496FB20A812DA8AFB918</vt:lpwstr>
  </property>
</Properties>
</file>