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372F" w14:textId="77777777" w:rsidR="00794BC0" w:rsidRDefault="00794BC0">
      <w:pPr>
        <w:jc w:val="center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信达国际金融中心</w:t>
      </w:r>
    </w:p>
    <w:p w14:paraId="1786F8CB" w14:textId="77777777" w:rsidR="00794BC0" w:rsidRDefault="00794BC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信达国际金融中心位于太原市迎泽西大街</w:t>
      </w:r>
      <w:r>
        <w:rPr>
          <w:rFonts w:ascii="Arial" w:hAnsi="Arial" w:cs="Arial"/>
          <w:color w:val="333333"/>
          <w:szCs w:val="21"/>
          <w:shd w:val="clear" w:color="auto" w:fill="FFFFFF"/>
        </w:rPr>
        <w:t>86</w:t>
      </w:r>
      <w:r>
        <w:rPr>
          <w:rFonts w:ascii="Arial" w:hAnsi="Arial" w:cs="Arial"/>
          <w:color w:val="333333"/>
          <w:szCs w:val="21"/>
          <w:shd w:val="clear" w:color="auto" w:fill="FFFFFF"/>
        </w:rPr>
        <w:t>号，设计地上</w:t>
      </w:r>
      <w:r>
        <w:rPr>
          <w:rFonts w:ascii="Arial" w:hAnsi="Arial" w:cs="Arial"/>
          <w:color w:val="333333"/>
          <w:szCs w:val="21"/>
          <w:shd w:val="clear" w:color="auto" w:fill="FFFFFF"/>
        </w:rPr>
        <w:t>54</w:t>
      </w:r>
      <w:r>
        <w:rPr>
          <w:rFonts w:ascii="Arial" w:hAnsi="Arial" w:cs="Arial"/>
          <w:color w:val="333333"/>
          <w:szCs w:val="21"/>
          <w:shd w:val="clear" w:color="auto" w:fill="FFFFFF"/>
        </w:rPr>
        <w:t>层地下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ascii="Arial" w:hAnsi="Arial" w:cs="Arial"/>
          <w:color w:val="333333"/>
          <w:szCs w:val="21"/>
          <w:shd w:val="clear" w:color="auto" w:fill="FFFFFF"/>
        </w:rPr>
        <w:t>层，总高</w:t>
      </w:r>
      <w:r>
        <w:rPr>
          <w:rFonts w:ascii="Arial" w:hAnsi="Arial" w:cs="Arial"/>
          <w:color w:val="333333"/>
          <w:szCs w:val="21"/>
          <w:shd w:val="clear" w:color="auto" w:fill="FFFFFF"/>
        </w:rPr>
        <w:t>266</w:t>
      </w:r>
      <w:r>
        <w:rPr>
          <w:rFonts w:ascii="Arial" w:hAnsi="Arial" w:cs="Arial"/>
          <w:color w:val="333333"/>
          <w:szCs w:val="21"/>
          <w:shd w:val="clear" w:color="auto" w:fill="FFFFFF"/>
        </w:rPr>
        <w:t>米，总</w:t>
      </w:r>
      <w:r>
        <w:rPr>
          <w:rFonts w:ascii="Arial" w:hAnsi="Arial" w:cs="Arial"/>
          <w:color w:val="0000FF"/>
          <w:szCs w:val="21"/>
          <w:shd w:val="clear" w:color="auto" w:fill="FFFFFF"/>
        </w:rPr>
        <w:t>建</w:t>
      </w:r>
      <w:r>
        <w:rPr>
          <w:rFonts w:ascii="Arial" w:hAnsi="Arial" w:cs="Arial"/>
          <w:color w:val="333333"/>
          <w:szCs w:val="21"/>
          <w:shd w:val="clear" w:color="auto" w:fill="FFFFFF"/>
        </w:rPr>
        <w:t>面约</w:t>
      </w:r>
      <w:r>
        <w:rPr>
          <w:rFonts w:ascii="Arial" w:hAnsi="Arial" w:cs="Arial"/>
          <w:color w:val="333333"/>
          <w:szCs w:val="21"/>
          <w:shd w:val="clear" w:color="auto" w:fill="FFFFFF"/>
        </w:rPr>
        <w:t>14.3</w:t>
      </w:r>
      <w:r>
        <w:rPr>
          <w:rFonts w:ascii="Arial" w:hAnsi="Arial" w:cs="Arial"/>
          <w:color w:val="333333"/>
          <w:szCs w:val="21"/>
          <w:shd w:val="clear" w:color="auto" w:fill="FFFFFF"/>
        </w:rPr>
        <w:t>万㎡。信达国际金融中心建成后，将是太原商务办公发展历史上的又一地标建筑。</w:t>
      </w:r>
    </w:p>
    <w:p w14:paraId="30033AD2" w14:textId="77777777" w:rsidR="00794BC0" w:rsidRDefault="00794BC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信达国际金融中心由国内知名的华东建筑设计院操刀设计，将太行山形象融入建筑外形设计中，以凸显山西人引以为傲、坚韧雄浑的</w:t>
      </w:r>
      <w:r>
        <w:rPr>
          <w:rFonts w:ascii="Arial" w:hAnsi="Arial" w:cs="Arial"/>
          <w:color w:val="333333"/>
          <w:szCs w:val="21"/>
          <w:shd w:val="clear" w:color="auto" w:fill="FFFFFF"/>
        </w:rPr>
        <w:t>"</w:t>
      </w:r>
      <w:r>
        <w:rPr>
          <w:rFonts w:ascii="Arial" w:hAnsi="Arial" w:cs="Arial"/>
          <w:color w:val="333333"/>
          <w:szCs w:val="21"/>
          <w:shd w:val="clear" w:color="auto" w:fill="FFFFFF"/>
        </w:rPr>
        <w:t>太行精神</w:t>
      </w:r>
      <w:r>
        <w:rPr>
          <w:rFonts w:ascii="Arial" w:hAnsi="Arial" w:cs="Arial"/>
          <w:color w:val="333333"/>
          <w:szCs w:val="21"/>
          <w:shd w:val="clear" w:color="auto" w:fill="FFFFFF"/>
        </w:rPr>
        <w:t>"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14:paraId="06F4512D" w14:textId="77777777" w:rsidR="00794BC0" w:rsidRDefault="00794BC0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此建筑外立面采用蓝灰色双银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Low-E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中空整体玻璃幕墙，完全具备国际建筑的审美标准与美感，</w:t>
      </w:r>
      <w:r>
        <w:rPr>
          <w:rFonts w:ascii="Arial" w:hAnsi="Arial" w:cs="Arial"/>
          <w:color w:val="333333"/>
          <w:szCs w:val="21"/>
          <w:shd w:val="clear" w:color="auto" w:fill="FFFFFF"/>
        </w:rPr>
        <w:t>整个建筑的玻璃幕墙外观折</w:t>
      </w:r>
      <w:r>
        <w:rPr>
          <w:rFonts w:ascii="Arial" w:hAnsi="Arial" w:cs="Arial"/>
          <w:color w:val="0000FF"/>
          <w:szCs w:val="21"/>
          <w:shd w:val="clear" w:color="auto" w:fill="FFFFFF"/>
        </w:rPr>
        <w:t>线</w:t>
      </w:r>
      <w:r>
        <w:rPr>
          <w:rFonts w:ascii="Arial" w:hAnsi="Arial" w:cs="Arial"/>
          <w:color w:val="333333"/>
          <w:szCs w:val="21"/>
          <w:shd w:val="clear" w:color="auto" w:fill="FFFFFF"/>
        </w:rPr>
        <w:t>充满现代时尚感，太行山岭外形融于建筑立面，太行山山脊线条作为建筑轮廓。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它的幕墙参建则是浙江中南建设集团有限公司，玻璃企业则是南玻，建筑胶则是白云，</w:t>
      </w:r>
      <w:r>
        <w:rPr>
          <w:rFonts w:ascii="Arial" w:hAnsi="Arial" w:cs="Arial"/>
          <w:color w:val="333333"/>
          <w:szCs w:val="21"/>
          <w:shd w:val="clear" w:color="auto" w:fill="FFFFFF"/>
        </w:rPr>
        <w:t>项目远观似巨帆远航，寓意事业一帆风顺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14:paraId="65DAD861" w14:textId="77777777" w:rsidR="00794BC0" w:rsidRDefault="00794BC0">
      <w:pPr>
        <w:rPr>
          <w:rFonts w:ascii="Arial" w:hAnsi="Arial" w:cs="Arial" w:hint="eastAsia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关注我了解更多玻璃小知识，我是小雨，我们下期再见。</w:t>
      </w:r>
    </w:p>
    <w:sectPr w:rsidR="00794BC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6173C" w14:textId="77777777" w:rsidR="00794BC0" w:rsidRDefault="00794BC0" w:rsidP="00D72DCA">
      <w:r>
        <w:separator/>
      </w:r>
    </w:p>
  </w:endnote>
  <w:endnote w:type="continuationSeparator" w:id="0">
    <w:p w14:paraId="50BEBAAD" w14:textId="77777777" w:rsidR="00794BC0" w:rsidRDefault="00794BC0" w:rsidP="00D7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24E9F" w14:textId="77777777" w:rsidR="00794BC0" w:rsidRDefault="00794BC0" w:rsidP="00D72DCA">
      <w:r>
        <w:separator/>
      </w:r>
    </w:p>
  </w:footnote>
  <w:footnote w:type="continuationSeparator" w:id="0">
    <w:p w14:paraId="79042C52" w14:textId="77777777" w:rsidR="00794BC0" w:rsidRDefault="00794BC0" w:rsidP="00D72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D57"/>
    <w:rsid w:val="00724D57"/>
    <w:rsid w:val="00794BC0"/>
    <w:rsid w:val="00D72DCA"/>
    <w:rsid w:val="1A0F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7ED6F"/>
  <w15:chartTrackingRefBased/>
  <w15:docId w15:val="{B674E59C-9304-407B-9ACB-435F7A3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2D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D72DCA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D72D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D72DCA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332</Characters>
  <Application>Microsoft Office Word</Application>
  <DocSecurity>0</DocSecurity>
  <Lines>11</Lines>
  <Paragraphs>5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WPS_1517657319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