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“全球第一高全钢构建筑”</w:t>
      </w:r>
      <w:r>
        <w:rPr>
          <w:rFonts w:hint="eastAsia"/>
          <w:lang w:val="en-US" w:eastAsia="zh-CN"/>
        </w:rPr>
        <w:t>--广东深圳，汉京金融中心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它拥有“全球之最”的称号，汉京金融中心是目前全球最高的全钢结构、核心筒外置的超高层建筑，它是一座创意型、具有独一无二设计风格的绿色建筑。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汉京金融中心位于南山高新科技园区，深南大道北侧，毗邻腾讯大厦，由中国建筑第四工程局有限公司珠海分公司承建，总建筑面积达164651平方米，集商业、办公于一体。总高350米，主塔楼地下5层，地上61层，附设4层商业裙房。其中主塔楼为巨型框架支撑结构，裙楼为纯钢结构，采用钢框架结构，楼层西侧为悬挑结构，其外框为复杂桁（heng）架构成。由于该项目属于全钢结构建筑，其钢结构体量巨大，总用钢量接近5万吨，相当于两个地王大厦的用钢量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汉京中心的高宽比远超其它同类型建筑，高瘦挺拔的塔楼形态配以高透的玻璃幕墙设计，一方面实现可最大化自然采光，通过双层玻璃幕墙提供遮阳并减少阳光直射，也提供最好的景观视野。另一方面也能够显露出建筑内部的结构细节，双侧的玻璃幕墙形成了令人惊艳的视觉效果。其幕墙参建企业是：深圳方大建科集团有限公司；玻璃企业是南玻。建筑的整体雕塑感极强，具有大胆、创新、国际范的特色，作为在深圳大道上的创意地标，具有非常高的识别度及昭示性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我是小雨，关注我了解更多玻璃小知识，我们下期再见。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B153EC"/>
    <w:rsid w:val="14CA6E88"/>
    <w:rsid w:val="62B1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Office_11.1.0.10503_F1E327BC-269C-435d-A152-05C5408002CA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2021-08-02T00:34:00Z</dcterms:created>
  <dc:creator>金建军(聚玻网)</dc:creator>
  <cp:lastModifiedBy>金建军(聚玻网)</cp:lastModifiedBy>
  <dcterms:modified xsi:type="dcterms:W3CDTF">2021-08-02T03:22:31Z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2052-11.1.0.10503</vt:lpwstr>
  </property>
  <property fmtid="{D5CDD505-2E9C-101B-9397-08002B2CF9AE}" pid="3" name="ICV">
    <vt:lpwstr>8C6B28CF369A4FD7AE961CA48085343D</vt:lpwstr>
  </property>
</Properties>
</file>