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ind w:firstLine="2800" w:firstLineChars="1000"/>
        <w:rPr>
          <w:rFonts w:hint="eastAsia" w:ascii="Arial" w:hAnsi="Arial" w:cs="Arial" w:eastAsiaTheme="minorEastAsia"/>
          <w:i w:val="0"/>
          <w:iCs w:val="0"/>
          <w:caps w:val="0"/>
          <w:color w:val="333333"/>
          <w:spacing w:val="0"/>
          <w:sz w:val="28"/>
          <w:szCs w:val="28"/>
          <w:shd w:val="clear" w:fill="FFFFFF"/>
          <w:lang w:eastAsia="zh-CN"/>
        </w:rPr>
      </w:pPr>
      <w:bookmarkStart w:id="0" w:name="_GoBack"/>
      <w:bookmarkEnd w:id="0"/>
      <w:r>
        <w:rPr>
          <w:rFonts w:hint="default" w:ascii="Arial" w:hAnsi="Arial" w:cs="Arial"/>
          <w:i w:val="0"/>
          <w:iCs w:val="0"/>
          <w:caps w:val="0"/>
          <w:color w:val="333333"/>
          <w:spacing w:val="0"/>
          <w:sz w:val="28"/>
          <w:szCs w:val="28"/>
          <w:shd w:val="clear" w:fill="FFFFFF"/>
        </w:rPr>
        <w:t>天津周大福金融中心</w:t>
      </w:r>
      <w:r>
        <w:rPr>
          <w:rFonts w:hint="default" w:ascii="Arial" w:hAnsi="Arial" w:cs="Arial"/>
          <w:i w:val="0"/>
          <w:iCs w:val="0"/>
          <w:caps w:val="0"/>
          <w:color w:val="333333"/>
          <w:spacing w:val="0"/>
          <w:sz w:val="28"/>
          <w:szCs w:val="28"/>
          <w:shd w:val="clear" w:fill="FFFFFF"/>
        </w:rPr>
        <w:br w:type="textWrapping"/>
      </w:r>
      <w:r>
        <w:rPr>
          <w:rFonts w:hint="default" w:ascii="Arial" w:hAnsi="Arial" w:cs="Arial"/>
          <w:i w:val="0"/>
          <w:iCs w:val="0"/>
          <w:caps w:val="0"/>
          <w:color w:val="333333"/>
          <w:spacing w:val="0"/>
          <w:sz w:val="28"/>
          <w:szCs w:val="28"/>
          <w:shd w:val="clear" w:fill="FFFFFF"/>
        </w:rPr>
        <w:t>天津周大福金融中心，坐落于滨海新区核心板块、新城西路与第一大街交汇处，别称"津沽棒"，获得了“北方之钻”的美誉，是涵盖写字楼、酒店、公寓、商业零售于一体的城市地标性建筑 。占地面积2.8万平方米，建筑面积约39万平方米，其中塔楼总高度530米</w:t>
      </w:r>
      <w:r>
        <w:rPr>
          <w:rFonts w:hint="eastAsia" w:ascii="Arial" w:hAnsi="Arial" w:cs="Arial"/>
          <w:i w:val="0"/>
          <w:iCs w:val="0"/>
          <w:caps w:val="0"/>
          <w:color w:val="333333"/>
          <w:spacing w:val="0"/>
          <w:sz w:val="28"/>
          <w:szCs w:val="28"/>
          <w:shd w:val="clear" w:fill="FFFFFF"/>
          <w:lang w:eastAsia="zh-CN"/>
        </w:rPr>
        <w:t>。</w:t>
      </w:r>
      <w:r>
        <w:rPr>
          <w:rFonts w:hint="eastAsia" w:ascii="Arial" w:hAnsi="Arial" w:cs="Arial"/>
          <w:i w:val="0"/>
          <w:iCs w:val="0"/>
          <w:caps w:val="0"/>
          <w:color w:val="333333"/>
          <w:spacing w:val="0"/>
          <w:sz w:val="28"/>
          <w:szCs w:val="28"/>
          <w:shd w:val="clear" w:fill="FFFFFF"/>
          <w:lang w:eastAsia="zh-CN"/>
        </w:rPr>
        <w:br w:type="textWrapping"/>
      </w:r>
      <w:r>
        <w:rPr>
          <w:rFonts w:hint="default" w:ascii="Arial" w:hAnsi="Arial" w:cs="Arial"/>
          <w:i w:val="0"/>
          <w:iCs w:val="0"/>
          <w:caps w:val="0"/>
          <w:color w:val="333333"/>
          <w:spacing w:val="0"/>
          <w:sz w:val="28"/>
          <w:szCs w:val="28"/>
          <w:shd w:val="clear" w:fill="FFFFFF"/>
        </w:rPr>
        <w:t>该建筑表现形式和设计灵感来源于“艺术与自然”中的流体几何造型。自下而上，由核心筒向外墙呈现高低起伏的形态，体现出不同建筑功能与单一平滑体量的结合。天津周大福金融中心采用高性能玻璃和热增强的框架系统实现了塔楼独特的建筑轮廓，同时应对严峻的气候挑战。最终覆盖整座建筑的“外衣”由约14,400片幕墙面板构筑而成</w:t>
      </w:r>
      <w:r>
        <w:rPr>
          <w:rFonts w:hint="eastAsia" w:ascii="Arial" w:hAnsi="Arial" w:cs="Arial"/>
          <w:i w:val="0"/>
          <w:iCs w:val="0"/>
          <w:caps w:val="0"/>
          <w:color w:val="333333"/>
          <w:spacing w:val="0"/>
          <w:sz w:val="28"/>
          <w:szCs w:val="28"/>
          <w:shd w:val="clear" w:fill="FFFFFF"/>
          <w:lang w:eastAsia="zh-CN"/>
        </w:rPr>
        <w:t>，玻璃则由南玻提供。</w:t>
      </w:r>
    </w:p>
    <w:p>
      <w:pPr>
        <w:rPr>
          <w:rFonts w:hint="eastAsia" w:ascii="Arial" w:hAnsi="Arial" w:cs="Arial" w:eastAsiaTheme="minorEastAsia"/>
          <w:i w:val="0"/>
          <w:iCs w:val="0"/>
          <w:caps w:val="0"/>
          <w:color w:val="333333"/>
          <w:spacing w:val="0"/>
          <w:sz w:val="28"/>
          <w:szCs w:val="28"/>
          <w:shd w:val="clear" w:fill="FFFFFF"/>
          <w:lang w:eastAsia="zh-CN"/>
        </w:rPr>
      </w:pPr>
      <w:r>
        <w:rPr>
          <w:rFonts w:hint="default" w:ascii="Arial" w:hAnsi="Arial" w:cs="Arial"/>
          <w:i w:val="0"/>
          <w:iCs w:val="0"/>
          <w:caps w:val="0"/>
          <w:color w:val="333333"/>
          <w:spacing w:val="0"/>
          <w:sz w:val="28"/>
          <w:szCs w:val="28"/>
          <w:shd w:val="clear" w:fill="FFFFFF"/>
        </w:rPr>
        <w:t>天津周大福金融中心夜景灯光采用了"匠心筑城"的理念，产生不同的灯光效果，如动态模式、横向波浪、竖向波浪、闪烁效果、倒数效果等</w:t>
      </w:r>
      <w:r>
        <w:rPr>
          <w:rFonts w:hint="eastAsia" w:ascii="Arial" w:hAnsi="Arial" w:cs="Arial"/>
          <w:i w:val="0"/>
          <w:iCs w:val="0"/>
          <w:caps w:val="0"/>
          <w:color w:val="333333"/>
          <w:spacing w:val="0"/>
          <w:sz w:val="28"/>
          <w:szCs w:val="28"/>
          <w:shd w:val="clear" w:fill="FFFFFF"/>
          <w:lang w:eastAsia="zh-CN"/>
        </w:rPr>
        <w:t>。</w:t>
      </w:r>
      <w:r>
        <w:rPr>
          <w:rFonts w:hint="default" w:ascii="Arial" w:hAnsi="Arial" w:cs="Arial"/>
          <w:i w:val="0"/>
          <w:iCs w:val="0"/>
          <w:caps w:val="0"/>
          <w:color w:val="333333"/>
          <w:spacing w:val="0"/>
          <w:sz w:val="28"/>
          <w:szCs w:val="28"/>
          <w:shd w:val="clear" w:fill="FFFFFF"/>
        </w:rPr>
        <w:br w:type="textWrapping"/>
      </w:r>
      <w:r>
        <w:rPr>
          <w:rFonts w:hint="eastAsia" w:ascii="Arial" w:hAnsi="Arial" w:cs="Arial"/>
          <w:i w:val="0"/>
          <w:iCs w:val="0"/>
          <w:caps w:val="0"/>
          <w:color w:val="333333"/>
          <w:spacing w:val="0"/>
          <w:sz w:val="28"/>
          <w:szCs w:val="28"/>
          <w:shd w:val="clear" w:fill="FFFFFF"/>
          <w:lang w:eastAsia="zh-CN"/>
        </w:rPr>
        <w:t>关注我，了解更多玻璃小知识，我是，我们下期再见。</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875B0F"/>
    <w:rsid w:val="1F1C7C47"/>
    <w:rsid w:val="2ED44ADF"/>
    <w:rsid w:val="2EF348BC"/>
    <w:rsid w:val="376561C9"/>
    <w:rsid w:val="546B6D9F"/>
    <w:rsid w:val="55F733E9"/>
    <w:rsid w:val="568966C4"/>
    <w:rsid w:val="5F872EE7"/>
    <w:rsid w:val="627F0044"/>
    <w:rsid w:val="637E0E00"/>
    <w:rsid w:val="71536F66"/>
    <w:rsid w:val="76FB5527"/>
    <w:rsid w:val="77C03BB2"/>
    <w:rsid w:val="7875340B"/>
    <w:rsid w:val="79192F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Hyperlink"/>
    <w:basedOn w:val="4"/>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Office_11.1.0.10495_F1E327BC-269C-435d-A152-05C5408002CA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2021-06-04T07:52:00Z</dcterms:created>
  <dc:creator>Administrator</dc:creator>
  <cp:lastModifiedBy>余七</cp:lastModifiedBy>
  <dcterms:modified xsi:type="dcterms:W3CDTF">2021-06-30T05:28:24Z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2052-11.1.0.10495</vt:lpwstr>
  </property>
  <property fmtid="{D5CDD505-2E9C-101B-9397-08002B2CF9AE}" pid="3" name="ICV">
    <vt:lpwstr>B64CECDD8D424DCCB05AA43DEE3A3BF6</vt:lpwstr>
  </property>
</Properties>
</file>