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ind w:firstLine="450" w:firstLineChars="200"/>
        <w:jc w:val="center"/>
        <w:textAlignment w:val="auto"/>
        <w:rPr>
          <w:rFonts w:hint="eastAsia" w:ascii="宋体" w:hAnsi="宋体" w:eastAsia="宋体" w:cs="宋体"/>
          <w:b/>
          <w:bCs/>
          <w:i w:val="0"/>
          <w:iCs w:val="0"/>
          <w:caps w:val="0"/>
          <w:color w:val="000000"/>
          <w:spacing w:val="7"/>
          <w:sz w:val="21"/>
          <w:szCs w:val="21"/>
          <w:shd w:val="clear" w:fill="FFFFFF"/>
          <w:lang w:eastAsia="zh-CN"/>
        </w:rPr>
      </w:pPr>
      <w:r>
        <w:rPr>
          <w:rFonts w:hint="eastAsia" w:ascii="宋体" w:hAnsi="宋体" w:eastAsia="宋体" w:cs="宋体"/>
          <w:b/>
          <w:bCs/>
          <w:i w:val="0"/>
          <w:iCs w:val="0"/>
          <w:caps w:val="0"/>
          <w:color w:val="000000"/>
          <w:spacing w:val="7"/>
          <w:sz w:val="21"/>
          <w:szCs w:val="21"/>
          <w:shd w:val="clear" w:fill="FFFFFF"/>
          <w:lang w:eastAsia="zh-CN"/>
        </w:rPr>
        <w:t>广州万达城秀场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ind w:firstLine="450" w:firstLineChars="200"/>
        <w:textAlignment w:val="auto"/>
        <w:rPr>
          <w:rFonts w:hint="eastAsia" w:ascii="宋体" w:hAnsi="宋体" w:eastAsia="宋体" w:cs="宋体"/>
          <w:b/>
          <w:bCs/>
          <w:i w:val="0"/>
          <w:iCs w:val="0"/>
          <w:caps w:val="0"/>
          <w:color w:val="000000"/>
          <w:spacing w:val="7"/>
          <w:sz w:val="21"/>
          <w:szCs w:val="21"/>
          <w:shd w:val="clear" w:fill="FFFFFF"/>
        </w:rPr>
      </w:pPr>
      <w:r>
        <w:rPr>
          <w:rFonts w:hint="eastAsia" w:ascii="宋体" w:hAnsi="宋体" w:eastAsia="宋体" w:cs="宋体"/>
          <w:b/>
          <w:bCs/>
          <w:i w:val="0"/>
          <w:iCs w:val="0"/>
          <w:caps w:val="0"/>
          <w:color w:val="000000"/>
          <w:spacing w:val="7"/>
          <w:sz w:val="21"/>
          <w:szCs w:val="21"/>
          <w:shd w:val="clear" w:fill="FFFFFF"/>
        </w:rPr>
        <w:t>广州万达城秀场</w:t>
      </w:r>
      <w:r>
        <w:rPr>
          <w:rFonts w:hint="eastAsia" w:ascii="宋体" w:hAnsi="宋体" w:eastAsia="宋体" w:cs="宋体"/>
          <w:b/>
          <w:bCs/>
          <w:i w:val="0"/>
          <w:iCs w:val="0"/>
          <w:caps w:val="0"/>
          <w:color w:val="000000"/>
          <w:spacing w:val="7"/>
          <w:sz w:val="21"/>
          <w:szCs w:val="21"/>
          <w:shd w:val="clear" w:fill="FFFFFF"/>
          <w:lang w:eastAsia="zh-CN"/>
        </w:rPr>
        <w:t>，</w:t>
      </w:r>
      <w:r>
        <w:rPr>
          <w:rFonts w:hint="eastAsia" w:ascii="宋体" w:hAnsi="宋体" w:eastAsia="宋体" w:cs="宋体"/>
          <w:b/>
          <w:bCs/>
          <w:i w:val="0"/>
          <w:iCs w:val="0"/>
          <w:caps w:val="0"/>
          <w:color w:val="000000"/>
          <w:spacing w:val="7"/>
          <w:sz w:val="21"/>
          <w:szCs w:val="21"/>
          <w:shd w:val="clear" w:fill="FFFFFF"/>
        </w:rPr>
        <w:t>又叫粤秀，位于广州市花都区花城街罗仙村，是国际演艺大师弗兰克·德贡先生以“石头记”为主题，倾心打造的高科技舞台秀，更是广州万达文化旅游城的核心项目。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ind w:firstLine="450" w:firstLineChars="200"/>
        <w:textAlignment w:val="auto"/>
        <w:rPr>
          <w:rFonts w:hint="eastAsia" w:ascii="宋体" w:hAnsi="宋体" w:eastAsia="宋体" w:cs="宋体"/>
          <w:b/>
          <w:bCs/>
          <w:i w:val="0"/>
          <w:iCs w:val="0"/>
          <w:caps w:val="0"/>
          <w:color w:val="000000"/>
          <w:spacing w:val="7"/>
          <w:sz w:val="21"/>
          <w:szCs w:val="21"/>
          <w:shd w:val="clear" w:fill="FFFFFF"/>
        </w:rPr>
      </w:pPr>
      <w:r>
        <w:rPr>
          <w:rFonts w:hint="eastAsia" w:ascii="宋体" w:hAnsi="宋体" w:eastAsia="宋体" w:cs="宋体"/>
          <w:b/>
          <w:bCs/>
          <w:i w:val="0"/>
          <w:iCs w:val="0"/>
          <w:caps w:val="0"/>
          <w:color w:val="000000"/>
          <w:spacing w:val="7"/>
          <w:sz w:val="21"/>
          <w:szCs w:val="21"/>
          <w:shd w:val="clear" w:fill="FFFFFF"/>
        </w:rPr>
        <w:t>“秀场”的幕墙总面积约31000平方</w:t>
      </w:r>
      <w:bookmarkStart w:id="0" w:name="_GoBack"/>
      <w:bookmarkEnd w:id="0"/>
      <w:r>
        <w:rPr>
          <w:rFonts w:hint="eastAsia" w:ascii="宋体" w:hAnsi="宋体" w:eastAsia="宋体" w:cs="宋体"/>
          <w:b/>
          <w:bCs/>
          <w:i w:val="0"/>
          <w:iCs w:val="0"/>
          <w:caps w:val="0"/>
          <w:color w:val="000000"/>
          <w:spacing w:val="7"/>
          <w:sz w:val="21"/>
          <w:szCs w:val="21"/>
          <w:shd w:val="clear" w:fill="FFFFFF"/>
        </w:rPr>
        <w:t>米(其中包含涂料11299平方米)，总高度为30.65米，</w:t>
      </w:r>
      <w:r>
        <w:rPr>
          <w:rFonts w:hint="eastAsia" w:ascii="宋体" w:hAnsi="宋体" w:eastAsia="宋体" w:cs="宋体"/>
          <w:b/>
          <w:bCs/>
          <w:i w:val="0"/>
          <w:iCs w:val="0"/>
          <w:caps w:val="0"/>
          <w:color w:val="000000"/>
          <w:spacing w:val="7"/>
          <w:sz w:val="21"/>
          <w:szCs w:val="21"/>
          <w:shd w:val="clear" w:fill="FFFFFF"/>
          <w:lang w:eastAsia="zh-CN"/>
        </w:rPr>
        <w:t>幕墙参建企业为金刚幕墙集团有限公司，玻璃企业为南玻，建筑胶则由安泰提供。建筑</w:t>
      </w:r>
      <w:r>
        <w:rPr>
          <w:rFonts w:hint="eastAsia" w:ascii="宋体" w:hAnsi="宋体" w:eastAsia="宋体" w:cs="宋体"/>
          <w:b/>
          <w:bCs/>
          <w:i w:val="0"/>
          <w:iCs w:val="0"/>
          <w:caps w:val="0"/>
          <w:color w:val="000000"/>
          <w:spacing w:val="7"/>
          <w:sz w:val="21"/>
          <w:szCs w:val="21"/>
          <w:shd w:val="clear" w:fill="FFFFFF"/>
        </w:rPr>
        <w:t>外立面为扭转双曲形状，主要由图案各异的“三角形”彩绘铝板构成，整体犹如飘动的红色绸缎。</w:t>
      </w:r>
      <w:r>
        <w:rPr>
          <w:rFonts w:hint="eastAsia" w:ascii="宋体" w:hAnsi="宋体" w:eastAsia="宋体" w:cs="宋体"/>
          <w:b/>
          <w:bCs/>
          <w:i w:val="0"/>
          <w:iCs w:val="0"/>
          <w:caps w:val="0"/>
          <w:color w:val="000000"/>
          <w:spacing w:val="7"/>
          <w:sz w:val="21"/>
          <w:szCs w:val="21"/>
          <w:shd w:val="clear" w:fill="FFFFFF"/>
        </w:rPr>
        <w:t>不规则造型使人忽略铝板板块之间的分格，板块之间过渡圆润，分缝自然合理，整体造型堪称惊艳。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ind w:firstLine="450" w:firstLineChars="200"/>
        <w:textAlignment w:val="auto"/>
        <w:rPr>
          <w:rFonts w:hint="eastAsia" w:ascii="宋体" w:hAnsi="宋体" w:eastAsia="宋体" w:cs="宋体"/>
          <w:b/>
          <w:bCs/>
          <w:i w:val="0"/>
          <w:iCs w:val="0"/>
          <w:caps w:val="0"/>
          <w:color w:val="000000"/>
          <w:spacing w:val="7"/>
          <w:sz w:val="21"/>
          <w:szCs w:val="21"/>
          <w:shd w:val="clear" w:fill="FFFFFF"/>
        </w:rPr>
      </w:pPr>
      <w:r>
        <w:rPr>
          <w:rFonts w:hint="eastAsia" w:ascii="宋体" w:hAnsi="宋体" w:eastAsia="宋体" w:cs="宋体"/>
          <w:b/>
          <w:bCs/>
          <w:i w:val="0"/>
          <w:iCs w:val="0"/>
          <w:caps w:val="0"/>
          <w:color w:val="000000"/>
          <w:spacing w:val="7"/>
          <w:sz w:val="21"/>
          <w:szCs w:val="21"/>
          <w:shd w:val="clear" w:fill="FFFFFF"/>
        </w:rPr>
        <w:t>色彩搭配科学合理，充分考虑颜色对视觉观感的影响，大胆地采用红色系作为主色，与黄色、金色搭配呼应，整体色彩设计大气磅礴、富丽堂皇，营造出浓厚的喜庆气氛而又不落入俗套。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ind w:firstLine="450" w:firstLineChars="200"/>
        <w:textAlignment w:val="auto"/>
        <w:rPr>
          <w:rFonts w:hint="eastAsia" w:ascii="宋体" w:hAnsi="宋体" w:eastAsia="宋体" w:cs="宋体"/>
          <w:b/>
          <w:bCs/>
          <w:i w:val="0"/>
          <w:iCs w:val="0"/>
          <w:caps w:val="0"/>
          <w:color w:val="000000"/>
          <w:spacing w:val="7"/>
          <w:sz w:val="21"/>
          <w:szCs w:val="21"/>
          <w:shd w:val="clear" w:fill="FFFFFF"/>
        </w:rPr>
      </w:pPr>
      <w:r>
        <w:rPr>
          <w:rFonts w:hint="eastAsia" w:ascii="宋体" w:hAnsi="宋体" w:eastAsia="宋体" w:cs="宋体"/>
          <w:b/>
          <w:bCs/>
          <w:i w:val="0"/>
          <w:iCs w:val="0"/>
          <w:caps w:val="0"/>
          <w:color w:val="000000"/>
          <w:spacing w:val="7"/>
          <w:sz w:val="21"/>
          <w:szCs w:val="21"/>
          <w:shd w:val="clear" w:fill="FFFFFF"/>
        </w:rPr>
        <w:t>表面涂装采用高难度的双色、三色喷涂工艺，避免铝板分格造成的颜色断层，底纹与金色图案互为呼应，颜色层次丰富且整体浑然天成。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ind w:firstLine="450" w:firstLineChars="200"/>
        <w:textAlignment w:val="auto"/>
        <w:rPr>
          <w:rFonts w:hint="eastAsia" w:ascii="宋体" w:hAnsi="宋体" w:eastAsia="宋体" w:cs="宋体"/>
          <w:b/>
          <w:bCs/>
          <w:i w:val="0"/>
          <w:iCs w:val="0"/>
          <w:caps w:val="0"/>
          <w:color w:val="000000"/>
          <w:spacing w:val="7"/>
          <w:sz w:val="21"/>
          <w:szCs w:val="21"/>
          <w:shd w:val="clear" w:fill="FFFFFF"/>
          <w:lang w:eastAsia="zh-CN"/>
        </w:rPr>
      </w:pPr>
      <w:r>
        <w:rPr>
          <w:rFonts w:hint="eastAsia" w:ascii="宋体" w:hAnsi="宋体" w:eastAsia="宋体" w:cs="宋体"/>
          <w:b/>
          <w:bCs/>
          <w:i w:val="0"/>
          <w:iCs w:val="0"/>
          <w:caps w:val="0"/>
          <w:color w:val="000000"/>
          <w:spacing w:val="7"/>
          <w:sz w:val="21"/>
          <w:szCs w:val="21"/>
          <w:shd w:val="clear" w:fill="FFFFFF"/>
          <w:lang w:eastAsia="zh-CN"/>
        </w:rPr>
        <w:t>我是小雨，关注我了解更多玻璃小知识，我们下期再见。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ind w:firstLine="409" w:firstLineChars="200"/>
        <w:textAlignment w:val="auto"/>
        <w:rPr>
          <w:rFonts w:hint="eastAsia" w:ascii="宋体" w:hAnsi="宋体" w:eastAsia="宋体" w:cs="宋体"/>
          <w:b/>
          <w:bCs/>
          <w:i w:val="0"/>
          <w:iCs w:val="0"/>
          <w:caps w:val="0"/>
          <w:color w:val="000000"/>
          <w:spacing w:val="7"/>
          <w:sz w:val="19"/>
          <w:szCs w:val="19"/>
          <w:shd w:val="clear" w:fill="FFFFFF"/>
          <w:lang w:eastAsia="zh-CN"/>
        </w:rPr>
      </w:pPr>
    </w:p>
    <w:p>
      <w:pPr>
        <w:rPr>
          <w:rFonts w:hint="eastAsia" w:ascii="宋体" w:hAnsi="宋体" w:eastAsia="宋体" w:cs="宋体"/>
          <w:i w:val="0"/>
          <w:iCs w:val="0"/>
          <w:caps w:val="0"/>
          <w:color w:val="000000"/>
          <w:spacing w:val="7"/>
          <w:sz w:val="19"/>
          <w:szCs w:val="19"/>
          <w:shd w:val="clear" w:fill="FFFFFF"/>
          <w:lang w:eastAsia="zh-CN"/>
        </w:rPr>
      </w:pPr>
    </w:p>
    <w:p>
      <w:pPr>
        <w:rPr>
          <w:rFonts w:hint="eastAsia" w:ascii="宋体" w:hAnsi="宋体" w:eastAsia="宋体" w:cs="宋体"/>
          <w:i w:val="0"/>
          <w:iCs w:val="0"/>
          <w:caps w:val="0"/>
          <w:color w:val="000000"/>
          <w:spacing w:val="7"/>
          <w:sz w:val="19"/>
          <w:szCs w:val="19"/>
          <w:shd w:val="clear" w:fill="FFFFFF"/>
          <w:lang w:eastAsia="zh-CN"/>
        </w:rPr>
      </w:pPr>
    </w:p>
    <w:p>
      <w:pPr>
        <w:rPr>
          <w:rFonts w:hint="eastAsia" w:ascii="宋体" w:hAnsi="宋体" w:eastAsia="宋体" w:cs="宋体"/>
          <w:i w:val="0"/>
          <w:iCs w:val="0"/>
          <w:caps w:val="0"/>
          <w:color w:val="000000"/>
          <w:spacing w:val="7"/>
          <w:sz w:val="19"/>
          <w:szCs w:val="19"/>
          <w:shd w:val="clear" w:fill="FFFFFF"/>
          <w:lang w:eastAsia="zh-CN"/>
        </w:rPr>
      </w:pPr>
    </w:p>
    <w:sectPr>
      <w:pgSz w:w="11906" w:h="16838"/>
      <w:pgMar w:top="1440" w:right="1800" w:bottom="1440" w:left="1800" w:header="851" w:footer="992" w:gutter="0"/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0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AFF" w:usb1="C0007843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A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10002FF" w:usb1="4000ACFF" w:usb2="00000009" w:usb3="00000000" w:csb0="2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60"/>
  <w:doNotDisplayPageBoundaries w:val="1"/>
  <w:embedSystemFonts/>
  <w:bordersDoNotSurroundHeader w:val="0"/>
  <w:bordersDoNotSurroundFooter w:val="0"/>
  <w:documentProtection w:enforcement="0"/>
  <w:defaultTabStop w:val="420"/>
  <w:drawingGridVerticalSpacing w:val="156"/>
  <w:displayHorizontalDrawingGridEvery w:val="1"/>
  <w:displayVerticalDrawingGridEvery w:val="1"/>
  <w:noPunctuationKerning w:val="1"/>
  <w:characterSpacingControl w:val="compressPunctuation"/>
  <w:compat>
    <w:spaceForUL/>
    <w:balanceSingleByteDoubleByteWidth/>
    <w:doNotLeaveBackslashAlone/>
    <w:ulTrailSpace/>
    <w:doNotExpandShiftReturn/>
    <w:adjustLineHeightInTable/>
    <w:doNotWrapTextWithPunct/>
    <w:doNotUseEastAsianBreakRules/>
    <w:useFELayout/>
    <w:doNotUseIndentAsNumberingTabStop/>
    <w:useAltKinsokuLineBreakRules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3A97603B"/>
    <w:rsid w:val="3A97603B"/>
    <w:rsid w:val="6D2E7EDD"/>
    <w:rsid w:val="75A450B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宋体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Theme="minorHAnsi" w:hAnsiTheme="minorHAnsi" w:eastAsiaTheme="minorEastAsia" w:cstheme="minorBidi"/>
      <w:kern w:val="2"/>
      <w:sz w:val="21"/>
      <w:szCs w:val="24"/>
      <w:lang w:val="en-US" w:eastAsia="zh-CN" w:bidi="ar-SA"/>
    </w:rPr>
  </w:style>
  <w:style w:type="character" w:default="1" w:styleId="3">
    <w:name w:val="Default Paragraph Font"/>
    <w:semiHidden/>
    <w:uiPriority w:val="0"/>
  </w:style>
  <w:style w:type="table" w:default="1" w:styleId="2">
    <w:name w:val="Normal Table"/>
    <w:semiHidden/>
    <w:qFormat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</w:styles>
</file>

<file path=word/_rels/document.xml.rels><?xml version="1.0" encoding="UTF-8" standalone="yes"?>
<Relationships xmlns="http://schemas.openxmlformats.org/package/2006/relationships"><Relationship Id="rId5" Type="http://schemas.openxmlformats.org/officeDocument/2006/relationships/fontTable" Target="fontTable.xml"/><Relationship Id="rId4" Type="http://schemas.openxmlformats.org/officeDocument/2006/relationships/customXml" Target="../customXml/item1.xml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s:customData xmlns="http://www.wps.cn/officeDocument/2013/wpsCustomData" xmlns:s="http://www.wps.cn/officeDocument/2013/wpsCustomData">
  <customSectProps>
    <customSectPr/>
  </customSectProps>
</s:customData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1</Pages>
  <Words>0</Words>
  <Characters>0</Characters>
  <Lines>0</Lines>
  <Paragraphs>0</Paragraphs>
  <TotalTime>13</TotalTime>
  <ScaleCrop>false</ScaleCrop>
  <LinksUpToDate>false</LinksUpToDate>
  <CharactersWithSpaces>0</CharactersWithSpaces>
  <Application>WPS Office_11.1.0.10356_F1E327BC-269C-435d-A152-05C5408002CA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2021-03-22T08:16:00Z</dcterms:created>
  <dc:creator>金建军(聚玻网)</dc:creator>
  <cp:lastModifiedBy>金建军(聚玻网)</cp:lastModifiedBy>
  <dcterms:modified xsi:type="dcterms:W3CDTF">2021-04-01T02:12:05Z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2052-11.1.0.10356</vt:lpwstr>
  </property>
  <property fmtid="{D5CDD505-2E9C-101B-9397-08002B2CF9AE}" pid="3" name="ICV">
    <vt:lpwstr>0ADD961BFC454CB1866A1583238F90D6</vt:lpwstr>
  </property>
</Properties>
</file>