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6BC1D" w14:textId="77777777" w:rsidR="00B57D1A" w:rsidRDefault="00B57D1A">
      <w:pPr>
        <w:rPr>
          <w:rFonts w:hint="eastAsia"/>
          <w:color w:val="000000"/>
        </w:rPr>
      </w:pPr>
    </w:p>
    <w:p w14:paraId="2FEB838C" w14:textId="77777777" w:rsidR="00B57D1A" w:rsidRDefault="00B57D1A">
      <w:pPr>
        <w:rPr>
          <w:rFonts w:hint="eastAsia"/>
          <w:color w:val="000000"/>
        </w:rPr>
      </w:pPr>
    </w:p>
    <w:p w14:paraId="7922519F" w14:textId="77777777" w:rsidR="00B57D1A" w:rsidRDefault="00B57D1A">
      <w:pPr>
        <w:rPr>
          <w:color w:val="000000"/>
        </w:rPr>
      </w:pPr>
      <w:r>
        <w:rPr>
          <w:rFonts w:hint="eastAsia"/>
          <w:color w:val="000000"/>
        </w:rPr>
        <w:t>玻璃期权可以反映价格涨跌方向、波动程度，帮助企业进行经营决策，有利于更好地引导玻璃产业资源优化配置。同时，</w:t>
      </w:r>
      <w:r>
        <w:rPr>
          <w:color w:val="000000"/>
        </w:rPr>
        <w:t>可</w:t>
      </w:r>
      <w:r>
        <w:rPr>
          <w:color w:val="000000"/>
        </w:rPr>
        <w:t>与现有期货协同，提供多元化风险管理工具，增强行业抗风险能力，有效地降低</w:t>
      </w:r>
      <w:r>
        <w:rPr>
          <w:color w:val="000000"/>
        </w:rPr>
        <w:t>企业</w:t>
      </w:r>
      <w:r>
        <w:rPr>
          <w:color w:val="000000"/>
        </w:rPr>
        <w:t>经营风险</w:t>
      </w:r>
      <w:r>
        <w:rPr>
          <w:color w:val="000000"/>
        </w:rPr>
        <w:t>。我们</w:t>
      </w:r>
      <w:r>
        <w:rPr>
          <w:rFonts w:hint="eastAsia"/>
          <w:color w:val="000000"/>
        </w:rPr>
        <w:t>需</w:t>
      </w:r>
      <w:r>
        <w:rPr>
          <w:color w:val="000000"/>
        </w:rPr>
        <w:t>深入了解玻璃期货的交易规则，</w:t>
      </w:r>
      <w:r>
        <w:rPr>
          <w:rFonts w:hint="eastAsia"/>
          <w:color w:val="000000"/>
        </w:rPr>
        <w:t>才能</w:t>
      </w:r>
      <w:r>
        <w:rPr>
          <w:color w:val="000000"/>
        </w:rPr>
        <w:t>更好地理解它的运作方式。</w:t>
      </w:r>
    </w:p>
    <w:p w14:paraId="34A230B5" w14:textId="77777777" w:rsidR="00B57D1A" w:rsidRDefault="00B57D1A">
      <w:pPr>
        <w:rPr>
          <w:color w:val="000000"/>
        </w:rPr>
      </w:pPr>
    </w:p>
    <w:p w14:paraId="4D33519E" w14:textId="77777777" w:rsidR="00B57D1A" w:rsidRDefault="00B57D1A">
      <w:pPr>
        <w:rPr>
          <w:b/>
          <w:bCs/>
          <w:color w:val="000000"/>
        </w:rPr>
      </w:pPr>
      <w:r>
        <w:rPr>
          <w:b/>
          <w:bCs/>
          <w:color w:val="000000"/>
        </w:rPr>
        <w:t>一、</w:t>
      </w:r>
      <w:r>
        <w:rPr>
          <w:rFonts w:hint="eastAsia"/>
          <w:b/>
          <w:bCs/>
          <w:color w:val="000000"/>
        </w:rPr>
        <w:t>基本合约规则</w:t>
      </w:r>
    </w:p>
    <w:p w14:paraId="44CEE746" w14:textId="77777777" w:rsidR="00B57D1A" w:rsidRDefault="00B57D1A">
      <w:pPr>
        <w:rPr>
          <w:color w:val="000000"/>
        </w:rPr>
      </w:pPr>
      <w:r>
        <w:rPr>
          <w:color w:val="000000"/>
        </w:rPr>
        <w:t>1</w:t>
      </w:r>
      <w:r>
        <w:rPr>
          <w:color w:val="000000"/>
        </w:rPr>
        <w:t>、</w:t>
      </w:r>
      <w:r>
        <w:rPr>
          <w:rFonts w:hint="eastAsia"/>
          <w:color w:val="000000"/>
        </w:rPr>
        <w:t>目前国内玻璃期权的交易场所是郑州商品交易所（简称郑商所）</w:t>
      </w:r>
      <w:r>
        <w:rPr>
          <w:color w:val="000000"/>
        </w:rPr>
        <w:t>。</w:t>
      </w:r>
    </w:p>
    <w:p w14:paraId="508B5034" w14:textId="77777777" w:rsidR="00B57D1A" w:rsidRDefault="00B57D1A">
      <w:pPr>
        <w:rPr>
          <w:color w:val="000000"/>
        </w:rPr>
      </w:pPr>
      <w:r>
        <w:rPr>
          <w:color w:val="000000"/>
        </w:rPr>
        <w:t>2</w:t>
      </w:r>
      <w:r>
        <w:rPr>
          <w:color w:val="000000"/>
        </w:rPr>
        <w:t>、交割：期权交割方式与传统期货交割存在显著差异。由于期权交易具有较高的灵活性，持有者可以通过买卖合约来实现收益或管理风险，从而避免了实物交割的复杂性和成本。因此，大多数期权持有者倾向于在期权到期前，通过买卖期权合约来兑现收益或规避损失。</w:t>
      </w:r>
    </w:p>
    <w:p w14:paraId="0B90CAB0" w14:textId="77777777" w:rsidR="00B57D1A" w:rsidRDefault="00B57D1A">
      <w:pPr>
        <w:rPr>
          <w:color w:val="000000"/>
        </w:rPr>
      </w:pPr>
    </w:p>
    <w:p w14:paraId="4CBC75B6" w14:textId="77777777" w:rsidR="00B57D1A" w:rsidRDefault="00B57D1A">
      <w:pPr>
        <w:rPr>
          <w:color w:val="000000"/>
        </w:rPr>
      </w:pPr>
    </w:p>
    <w:p w14:paraId="74FCB4A9" w14:textId="77777777" w:rsidR="00B57D1A" w:rsidRDefault="00B57D1A">
      <w:pPr>
        <w:rPr>
          <w:color w:val="000000"/>
        </w:rPr>
      </w:pPr>
      <w:r>
        <w:rPr>
          <w:color w:val="000000"/>
        </w:rPr>
        <w:t>3</w:t>
      </w:r>
      <w:r>
        <w:rPr>
          <w:color w:val="000000"/>
        </w:rPr>
        <w:t>、</w:t>
      </w:r>
      <w:r>
        <w:rPr>
          <w:rFonts w:hint="eastAsia"/>
          <w:color w:val="000000"/>
        </w:rPr>
        <w:t>合约类型分为看涨期权、看跌期权两种</w:t>
      </w:r>
      <w:r>
        <w:rPr>
          <w:color w:val="000000"/>
        </w:rPr>
        <w:t>。</w:t>
      </w:r>
      <w:r>
        <w:rPr>
          <w:color w:val="000000"/>
        </w:rPr>
        <w:t>看涨期权适用于预期价格上涨的情况，看跌期权适用于预期价格下跌的情况。</w:t>
      </w:r>
    </w:p>
    <w:p w14:paraId="1DABA6AA" w14:textId="77777777" w:rsidR="00B57D1A" w:rsidRDefault="00B57D1A">
      <w:pPr>
        <w:numPr>
          <w:ilvl w:val="0"/>
          <w:numId w:val="1"/>
        </w:numPr>
        <w:rPr>
          <w:color w:val="000000"/>
        </w:rPr>
      </w:pPr>
      <w:r>
        <w:rPr>
          <w:color w:val="000000"/>
        </w:rPr>
        <w:t>由于标的资产的特性不同，玻璃期权的最小</w:t>
      </w:r>
      <w:r>
        <w:rPr>
          <w:rFonts w:hint="eastAsia"/>
          <w:color w:val="000000"/>
        </w:rPr>
        <w:t>交易单位为</w:t>
      </w:r>
      <w:r>
        <w:rPr>
          <w:rFonts w:hint="eastAsia"/>
          <w:color w:val="000000"/>
        </w:rPr>
        <w:t>1</w:t>
      </w:r>
      <w:r>
        <w:rPr>
          <w:rFonts w:hint="eastAsia"/>
          <w:color w:val="000000"/>
        </w:rPr>
        <w:t>手</w:t>
      </w:r>
      <w:r>
        <w:rPr>
          <w:color w:val="000000"/>
        </w:rPr>
        <w:t>；</w:t>
      </w:r>
      <w:r>
        <w:rPr>
          <w:rFonts w:hint="eastAsia"/>
          <w:color w:val="000000"/>
        </w:rPr>
        <w:t>最小变动价位是</w:t>
      </w:r>
      <w:r>
        <w:rPr>
          <w:rFonts w:hint="eastAsia"/>
          <w:color w:val="000000"/>
        </w:rPr>
        <w:t>0.5</w:t>
      </w:r>
      <w:r>
        <w:rPr>
          <w:color w:val="000000"/>
        </w:rPr>
        <w:t>元</w:t>
      </w:r>
      <w:r>
        <w:rPr>
          <w:rFonts w:hint="eastAsia"/>
          <w:color w:val="000000"/>
        </w:rPr>
        <w:t>/</w:t>
      </w:r>
      <w:r>
        <w:rPr>
          <w:rFonts w:hint="eastAsia"/>
          <w:color w:val="000000"/>
        </w:rPr>
        <w:t>吨</w:t>
      </w:r>
      <w:r>
        <w:rPr>
          <w:color w:val="000000"/>
        </w:rPr>
        <w:t>。</w:t>
      </w:r>
    </w:p>
    <w:p w14:paraId="5D25978E" w14:textId="77777777" w:rsidR="00B57D1A" w:rsidRDefault="00B57D1A">
      <w:pPr>
        <w:numPr>
          <w:ilvl w:val="0"/>
          <w:numId w:val="1"/>
        </w:numPr>
        <w:rPr>
          <w:color w:val="000000"/>
        </w:rPr>
      </w:pPr>
      <w:r>
        <w:rPr>
          <w:color w:val="000000"/>
        </w:rPr>
        <w:t>交易时间</w:t>
      </w:r>
      <w:r>
        <w:rPr>
          <w:rFonts w:hint="eastAsia"/>
          <w:color w:val="000000"/>
        </w:rPr>
        <w:t>为上午</w:t>
      </w:r>
      <w:r>
        <w:rPr>
          <w:rFonts w:hint="eastAsia"/>
          <w:color w:val="000000"/>
        </w:rPr>
        <w:t>9:00-11:30</w:t>
      </w:r>
      <w:r>
        <w:rPr>
          <w:rFonts w:hint="eastAsia"/>
          <w:color w:val="000000"/>
        </w:rPr>
        <w:t>，下午</w:t>
      </w:r>
      <w:r>
        <w:rPr>
          <w:rFonts w:hint="eastAsia"/>
          <w:color w:val="000000"/>
        </w:rPr>
        <w:t>13:30-15:00</w:t>
      </w:r>
      <w:r>
        <w:rPr>
          <w:rFonts w:hint="eastAsia"/>
          <w:color w:val="000000"/>
        </w:rPr>
        <w:t>，且有夜盘交易</w:t>
      </w:r>
      <w:r>
        <w:rPr>
          <w:color w:val="000000"/>
        </w:rPr>
        <w:t>，晚间</w:t>
      </w:r>
      <w:r>
        <w:rPr>
          <w:rStyle w:val="a3"/>
          <w:rFonts w:ascii="Arial" w:eastAsia="Arial" w:hAnsi="Arial" w:cs="Arial"/>
          <w:color w:val="000000"/>
          <w:szCs w:val="21"/>
          <w:shd w:val="clear" w:color="auto" w:fill="FFFFFF"/>
        </w:rPr>
        <w:t>21:00 - 23:00</w:t>
      </w:r>
      <w:r>
        <w:rPr>
          <w:rStyle w:val="a3"/>
          <w:rFonts w:ascii="Arial" w:eastAsia="Arial" w:hAnsi="Arial" w:cs="Arial"/>
          <w:color w:val="000000"/>
          <w:szCs w:val="21"/>
          <w:shd w:val="clear" w:color="auto" w:fill="FFFFFF"/>
        </w:rPr>
        <w:t>。</w:t>
      </w:r>
    </w:p>
    <w:p w14:paraId="06340D96" w14:textId="77777777" w:rsidR="00B57D1A" w:rsidRDefault="00B57D1A">
      <w:pPr>
        <w:rPr>
          <w:color w:val="000000"/>
        </w:rPr>
      </w:pPr>
    </w:p>
    <w:p w14:paraId="15F9F5A8" w14:textId="77777777" w:rsidR="00B57D1A" w:rsidRDefault="00B57D1A">
      <w:pPr>
        <w:numPr>
          <w:ilvl w:val="0"/>
          <w:numId w:val="1"/>
        </w:numPr>
        <w:rPr>
          <w:color w:val="000000"/>
        </w:rPr>
      </w:pPr>
      <w:r>
        <w:rPr>
          <w:color w:val="000000"/>
        </w:rPr>
        <w:t>交易指令主要分为限价指令和市价指令。限价指令是投资者在买卖玻璃期权时设定一个具体价格（即限价），交易仅在市场价格达到或优于该设定</w:t>
      </w:r>
      <w:r>
        <w:rPr>
          <w:color w:val="000000"/>
        </w:rPr>
        <w:t>价格时才会被执行。需注意的是，限价指令的每次最大下单数量为</w:t>
      </w:r>
      <w:r>
        <w:rPr>
          <w:color w:val="000000"/>
        </w:rPr>
        <w:t>100</w:t>
      </w:r>
      <w:r>
        <w:rPr>
          <w:color w:val="000000"/>
        </w:rPr>
        <w:t>手。这种指令适用于投资者对成交价格有明确要求的场景，但投资者也需意识到，使用限价指令可能面临无法成交的风险。</w:t>
      </w:r>
    </w:p>
    <w:p w14:paraId="3151F06B" w14:textId="77777777" w:rsidR="00B57D1A" w:rsidRDefault="00B57D1A">
      <w:pPr>
        <w:rPr>
          <w:color w:val="000000"/>
        </w:rPr>
      </w:pPr>
    </w:p>
    <w:p w14:paraId="2F81102A" w14:textId="77777777" w:rsidR="00B57D1A" w:rsidRDefault="00B57D1A">
      <w:pPr>
        <w:rPr>
          <w:color w:val="000000"/>
        </w:rPr>
      </w:pPr>
      <w:r>
        <w:rPr>
          <w:color w:val="000000"/>
        </w:rPr>
        <w:t>市价指令是投资者在买卖玻璃期权时采用的一种指令类型，其特点是不设定具体的成交价格。投资者使用市价指令时，交易将按照当时市场上可执行的最优报价立即成交。而需注意的是，市价指令的每次最大下单数量为</w:t>
      </w:r>
      <w:r>
        <w:rPr>
          <w:color w:val="000000"/>
        </w:rPr>
        <w:t>2</w:t>
      </w:r>
      <w:r>
        <w:rPr>
          <w:color w:val="000000"/>
        </w:rPr>
        <w:t>手。这种指令适用于投资者希望尽快完成交易，且对成交价格不敏感的场景。</w:t>
      </w:r>
    </w:p>
    <w:p w14:paraId="0555E631" w14:textId="77777777" w:rsidR="00B57D1A" w:rsidRDefault="00B57D1A">
      <w:pPr>
        <w:rPr>
          <w:color w:val="000000"/>
        </w:rPr>
      </w:pPr>
    </w:p>
    <w:p w14:paraId="4B6C8B7D" w14:textId="77777777" w:rsidR="00B57D1A" w:rsidRDefault="00B57D1A">
      <w:pPr>
        <w:rPr>
          <w:color w:val="000000"/>
        </w:rPr>
      </w:pPr>
    </w:p>
    <w:p w14:paraId="1E302243" w14:textId="77777777" w:rsidR="00B57D1A" w:rsidRDefault="00B57D1A">
      <w:pPr>
        <w:numPr>
          <w:ilvl w:val="0"/>
          <w:numId w:val="1"/>
        </w:numPr>
        <w:rPr>
          <w:color w:val="000000"/>
        </w:rPr>
      </w:pPr>
      <w:r>
        <w:rPr>
          <w:color w:val="000000"/>
        </w:rPr>
        <w:t>玻璃</w:t>
      </w:r>
      <w:r>
        <w:rPr>
          <w:rFonts w:hint="eastAsia"/>
          <w:color w:val="000000"/>
        </w:rPr>
        <w:t>期权的涨跌停板幅度为前一交易日结算价的±</w:t>
      </w:r>
      <w:r>
        <w:rPr>
          <w:rFonts w:hint="eastAsia"/>
          <w:color w:val="000000"/>
        </w:rPr>
        <w:t>4%</w:t>
      </w:r>
    </w:p>
    <w:p w14:paraId="379F34BD" w14:textId="77777777" w:rsidR="00B57D1A" w:rsidRDefault="00B57D1A">
      <w:pPr>
        <w:numPr>
          <w:ilvl w:val="0"/>
          <w:numId w:val="1"/>
        </w:numPr>
        <w:rPr>
          <w:color w:val="000000"/>
        </w:rPr>
      </w:pPr>
      <w:r>
        <w:rPr>
          <w:rFonts w:hint="eastAsia"/>
          <w:color w:val="000000"/>
        </w:rPr>
        <w:t>其行权价格被设定在一个宽泛的区间内，这个区间以标的期货合约上一交易日的结算价为基准，向上和向下各浮动</w:t>
      </w:r>
      <w:r>
        <w:rPr>
          <w:rFonts w:hint="eastAsia"/>
          <w:color w:val="000000"/>
        </w:rPr>
        <w:t>1.5</w:t>
      </w:r>
      <w:r>
        <w:rPr>
          <w:rFonts w:hint="eastAsia"/>
          <w:color w:val="000000"/>
        </w:rPr>
        <w:t>倍当日的涨跌停板幅度</w:t>
      </w:r>
      <w:r>
        <w:rPr>
          <w:color w:val="000000"/>
        </w:rPr>
        <w:t>。</w:t>
      </w:r>
    </w:p>
    <w:p w14:paraId="71B70CAD" w14:textId="77777777" w:rsidR="00B57D1A" w:rsidRDefault="00B57D1A">
      <w:pPr>
        <w:rPr>
          <w:color w:val="000000"/>
        </w:rPr>
      </w:pPr>
      <w:r>
        <w:rPr>
          <w:color w:val="000000"/>
        </w:rPr>
        <w:pict w14:anchorId="798D77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414.75pt;height:100.5pt;mso-wrap-style:square;mso-position-horizontal-relative:page;mso-position-vertical-relative:page">
            <v:fill o:detectmouseclick="t"/>
            <v:imagedata r:id="rId7" o:title=""/>
          </v:shape>
        </w:pict>
      </w:r>
    </w:p>
    <w:p w14:paraId="166E36C5" w14:textId="77777777" w:rsidR="00B57D1A" w:rsidRDefault="00B57D1A">
      <w:pPr>
        <w:rPr>
          <w:color w:val="000000"/>
        </w:rPr>
      </w:pPr>
    </w:p>
    <w:p w14:paraId="1D37E907" w14:textId="77777777" w:rsidR="00B57D1A" w:rsidRDefault="00B57D1A">
      <w:pPr>
        <w:numPr>
          <w:ilvl w:val="0"/>
          <w:numId w:val="1"/>
        </w:numPr>
        <w:rPr>
          <w:color w:val="000000"/>
        </w:rPr>
      </w:pPr>
      <w:r>
        <w:rPr>
          <w:color w:val="000000"/>
        </w:rPr>
        <w:t>手续费收取标准：玻璃期权交易的手续费标准为</w:t>
      </w:r>
      <w:r>
        <w:rPr>
          <w:color w:val="000000"/>
        </w:rPr>
        <w:t>0.5</w:t>
      </w:r>
      <w:r>
        <w:rPr>
          <w:color w:val="000000"/>
        </w:rPr>
        <w:t>元</w:t>
      </w:r>
      <w:r>
        <w:rPr>
          <w:color w:val="000000"/>
        </w:rPr>
        <w:t>/</w:t>
      </w:r>
      <w:r>
        <w:rPr>
          <w:color w:val="000000"/>
        </w:rPr>
        <w:t>手。当投资者在同一交易日内对之前买入的期权合约进行卖出（平仓）操作时，交易所将不会收取该笔交易的手续费</w:t>
      </w:r>
      <w:r>
        <w:rPr>
          <w:color w:val="000000"/>
        </w:rPr>
        <w:t>。</w:t>
      </w:r>
      <w:r>
        <w:rPr>
          <w:color w:val="000000"/>
        </w:rPr>
        <w:t>玻璃期权的行权手续费标准与期权交易手续费相同，行权后新建期货持仓不收取手续费。</w:t>
      </w:r>
    </w:p>
    <w:p w14:paraId="04F373A2" w14:textId="77777777" w:rsidR="00B57D1A" w:rsidRDefault="00B57D1A">
      <w:pPr>
        <w:rPr>
          <w:color w:val="000000"/>
        </w:rPr>
      </w:pPr>
      <w:r>
        <w:rPr>
          <w:color w:val="000000"/>
        </w:rPr>
        <w:lastRenderedPageBreak/>
        <w:t>10</w:t>
      </w:r>
      <w:r>
        <w:rPr>
          <w:color w:val="000000"/>
        </w:rPr>
        <w:t>、持仓限额：非期货公司会员和客户所持有的</w:t>
      </w:r>
      <w:r>
        <w:rPr>
          <w:rFonts w:hint="eastAsia"/>
          <w:color w:val="000000"/>
        </w:rPr>
        <w:t>，</w:t>
      </w:r>
      <w:r>
        <w:rPr>
          <w:color w:val="000000"/>
        </w:rPr>
        <w:t>按单边计算的某月份期权合约的投机</w:t>
      </w:r>
      <w:r>
        <w:rPr>
          <w:rFonts w:hint="eastAsia"/>
          <w:color w:val="000000"/>
        </w:rPr>
        <w:t>，</w:t>
      </w:r>
      <w:r>
        <w:rPr>
          <w:color w:val="000000"/>
        </w:rPr>
        <w:t>持仓限额为</w:t>
      </w:r>
      <w:r>
        <w:rPr>
          <w:color w:val="000000"/>
        </w:rPr>
        <w:t>600</w:t>
      </w:r>
      <w:r>
        <w:rPr>
          <w:color w:val="000000"/>
        </w:rPr>
        <w:t>手，玻璃期权合约总的投机持仓限额为</w:t>
      </w:r>
      <w:r>
        <w:rPr>
          <w:color w:val="000000"/>
        </w:rPr>
        <w:t>20000</w:t>
      </w:r>
      <w:r>
        <w:rPr>
          <w:color w:val="000000"/>
        </w:rPr>
        <w:t>手。同时，投机与套</w:t>
      </w:r>
      <w:r>
        <w:rPr>
          <w:color w:val="000000"/>
        </w:rPr>
        <w:t>利持仓之和不得超过投机持仓限额的</w:t>
      </w:r>
      <w:r>
        <w:rPr>
          <w:color w:val="000000"/>
        </w:rPr>
        <w:t>2</w:t>
      </w:r>
      <w:r>
        <w:rPr>
          <w:color w:val="000000"/>
        </w:rPr>
        <w:t>倍。此外，玻璃期权做市商的持仓限额为</w:t>
      </w:r>
      <w:r>
        <w:rPr>
          <w:color w:val="000000"/>
        </w:rPr>
        <w:t>40000</w:t>
      </w:r>
      <w:r>
        <w:rPr>
          <w:color w:val="000000"/>
        </w:rPr>
        <w:t>手。</w:t>
      </w:r>
    </w:p>
    <w:p w14:paraId="0AA7C946" w14:textId="77777777" w:rsidR="00B57D1A" w:rsidRDefault="00B57D1A">
      <w:pPr>
        <w:rPr>
          <w:color w:val="000000"/>
        </w:rPr>
      </w:pPr>
      <w:r>
        <w:rPr>
          <w:color w:val="000000"/>
        </w:rPr>
        <w:t>11</w:t>
      </w:r>
      <w:r>
        <w:rPr>
          <w:color w:val="000000"/>
        </w:rPr>
        <w:t>、</w:t>
      </w:r>
      <w:r>
        <w:rPr>
          <w:color w:val="000000"/>
        </w:rPr>
        <w:t>最后交易日：标的期货合约交割月份前一个月第</w:t>
      </w:r>
      <w:r>
        <w:rPr>
          <w:color w:val="000000"/>
        </w:rPr>
        <w:t>15</w:t>
      </w:r>
      <w:r>
        <w:rPr>
          <w:color w:val="000000"/>
        </w:rPr>
        <w:t>个日历日之前（含该日）的倒数第</w:t>
      </w:r>
      <w:r>
        <w:rPr>
          <w:color w:val="000000"/>
        </w:rPr>
        <w:t>3</w:t>
      </w:r>
      <w:r>
        <w:rPr>
          <w:color w:val="000000"/>
        </w:rPr>
        <w:t>个交易日，以及交易所规定的其他日期。</w:t>
      </w:r>
    </w:p>
    <w:p w14:paraId="61E1377A" w14:textId="77777777" w:rsidR="00B57D1A" w:rsidRDefault="00B57D1A">
      <w:pPr>
        <w:rPr>
          <w:rFonts w:hint="eastAsia"/>
          <w:color w:val="000000"/>
        </w:rPr>
      </w:pPr>
      <w:r>
        <w:rPr>
          <w:rFonts w:hint="eastAsia"/>
          <w:color w:val="000000"/>
        </w:rPr>
        <w:t>1</w:t>
      </w:r>
      <w:r>
        <w:rPr>
          <w:color w:val="000000"/>
        </w:rPr>
        <w:t>2</w:t>
      </w:r>
      <w:r>
        <w:rPr>
          <w:color w:val="000000"/>
        </w:rPr>
        <w:t>、</w:t>
      </w:r>
      <w:r>
        <w:rPr>
          <w:rFonts w:hint="eastAsia"/>
          <w:color w:val="000000"/>
        </w:rPr>
        <w:t>玻璃期权采用美式行权方式，买方可在到期日前</w:t>
      </w:r>
      <w:r>
        <w:rPr>
          <w:color w:val="000000"/>
        </w:rPr>
        <w:t>，</w:t>
      </w:r>
      <w:r>
        <w:rPr>
          <w:rFonts w:hint="eastAsia"/>
          <w:color w:val="000000"/>
        </w:rPr>
        <w:t>任一交易日的交易时间提交行权申请</w:t>
      </w:r>
      <w:r>
        <w:rPr>
          <w:rFonts w:hint="eastAsia"/>
          <w:color w:val="000000"/>
        </w:rPr>
        <w:t>;</w:t>
      </w:r>
      <w:r>
        <w:rPr>
          <w:rFonts w:hint="eastAsia"/>
          <w:color w:val="000000"/>
        </w:rPr>
        <w:t>可在到期日</w:t>
      </w:r>
      <w:r>
        <w:rPr>
          <w:rFonts w:hint="eastAsia"/>
          <w:color w:val="000000"/>
        </w:rPr>
        <w:t>15:30</w:t>
      </w:r>
      <w:r>
        <w:rPr>
          <w:rFonts w:hint="eastAsia"/>
          <w:color w:val="000000"/>
        </w:rPr>
        <w:t>之前提交行权申请、放弃申请。</w:t>
      </w:r>
    </w:p>
    <w:p w14:paraId="181A343D" w14:textId="77777777" w:rsidR="00B57D1A" w:rsidRDefault="00B57D1A">
      <w:pPr>
        <w:rPr>
          <w:color w:val="000000"/>
        </w:rPr>
      </w:pPr>
    </w:p>
    <w:p w14:paraId="4052D7BC" w14:textId="77777777" w:rsidR="00B57D1A" w:rsidRDefault="00B57D1A">
      <w:pPr>
        <w:rPr>
          <w:color w:val="000000"/>
        </w:rPr>
      </w:pPr>
    </w:p>
    <w:p w14:paraId="452B1D64" w14:textId="77777777" w:rsidR="00B57D1A" w:rsidRDefault="00B57D1A">
      <w:pPr>
        <w:rPr>
          <w:b/>
          <w:bCs/>
          <w:color w:val="000000"/>
        </w:rPr>
      </w:pPr>
      <w:r>
        <w:rPr>
          <w:b/>
          <w:bCs/>
          <w:color w:val="000000"/>
        </w:rPr>
        <w:t>二、</w:t>
      </w:r>
      <w:r>
        <w:rPr>
          <w:b/>
          <w:bCs/>
          <w:color w:val="000000"/>
        </w:rPr>
        <w:t>玻璃期权交易权限</w:t>
      </w:r>
    </w:p>
    <w:p w14:paraId="221353DB" w14:textId="77777777" w:rsidR="00B57D1A" w:rsidRDefault="00B57D1A">
      <w:pPr>
        <w:rPr>
          <w:rFonts w:hint="eastAsia"/>
          <w:color w:val="000000"/>
        </w:rPr>
      </w:pPr>
      <w:r>
        <w:rPr>
          <w:rFonts w:hint="eastAsia"/>
          <w:color w:val="000000"/>
        </w:rPr>
        <w:t>当前，郑州商品交易所的期权合约交易实行适当性制度，个人客户申请开通玻璃期权交易应符合一定的“三有一无”标准，即为：</w:t>
      </w:r>
    </w:p>
    <w:p w14:paraId="5A84B9D2" w14:textId="77777777" w:rsidR="00B57D1A" w:rsidRDefault="00B57D1A">
      <w:pPr>
        <w:numPr>
          <w:ilvl w:val="0"/>
          <w:numId w:val="2"/>
        </w:numPr>
        <w:rPr>
          <w:rFonts w:hint="eastAsia"/>
          <w:color w:val="000000"/>
        </w:rPr>
      </w:pPr>
      <w:r>
        <w:rPr>
          <w:color w:val="000000"/>
        </w:rPr>
        <w:t>有资金</w:t>
      </w:r>
      <w:r>
        <w:rPr>
          <w:rFonts w:hint="eastAsia"/>
          <w:color w:val="000000"/>
        </w:rPr>
        <w:t>，</w:t>
      </w:r>
      <w:r>
        <w:rPr>
          <w:color w:val="000000"/>
        </w:rPr>
        <w:t>连续</w:t>
      </w:r>
      <w:r>
        <w:rPr>
          <w:color w:val="000000"/>
        </w:rPr>
        <w:t>5</w:t>
      </w:r>
      <w:r>
        <w:rPr>
          <w:color w:val="000000"/>
        </w:rPr>
        <w:t>个交易日保证金账户</w:t>
      </w:r>
      <w:r>
        <w:rPr>
          <w:color w:val="000000"/>
        </w:rPr>
        <w:t>，</w:t>
      </w:r>
      <w:r>
        <w:rPr>
          <w:color w:val="000000"/>
        </w:rPr>
        <w:t>可用资金余额均不低于人民币</w:t>
      </w:r>
      <w:r>
        <w:rPr>
          <w:color w:val="000000"/>
        </w:rPr>
        <w:t>10</w:t>
      </w:r>
      <w:r>
        <w:rPr>
          <w:color w:val="000000"/>
        </w:rPr>
        <w:t>万元</w:t>
      </w:r>
      <w:r>
        <w:rPr>
          <w:rFonts w:hint="eastAsia"/>
          <w:color w:val="000000"/>
        </w:rPr>
        <w:t>。</w:t>
      </w:r>
      <w:r>
        <w:rPr>
          <w:color w:val="000000"/>
        </w:rPr>
        <w:t>一般不包括已用于期货交易保证金的资金。</w:t>
      </w:r>
    </w:p>
    <w:p w14:paraId="30D98F26" w14:textId="77777777" w:rsidR="00B57D1A" w:rsidRDefault="00B57D1A">
      <w:pPr>
        <w:rPr>
          <w:color w:val="000000"/>
        </w:rPr>
      </w:pPr>
      <w:r>
        <w:rPr>
          <w:color w:val="000000"/>
        </w:rPr>
        <w:t>2</w:t>
      </w:r>
      <w:r>
        <w:rPr>
          <w:color w:val="000000"/>
        </w:rPr>
        <w:t>、有知识</w:t>
      </w:r>
      <w:r>
        <w:rPr>
          <w:rFonts w:hint="eastAsia"/>
          <w:color w:val="000000"/>
        </w:rPr>
        <w:t>，</w:t>
      </w:r>
      <w:r>
        <w:rPr>
          <w:color w:val="000000"/>
        </w:rPr>
        <w:t>投资者适当性知识测试分数不低于</w:t>
      </w:r>
      <w:r>
        <w:rPr>
          <w:color w:val="000000"/>
        </w:rPr>
        <w:t>80</w:t>
      </w:r>
      <w:r>
        <w:rPr>
          <w:color w:val="000000"/>
        </w:rPr>
        <w:t>分</w:t>
      </w:r>
      <w:r>
        <w:rPr>
          <w:rFonts w:hint="eastAsia"/>
          <w:color w:val="000000"/>
        </w:rPr>
        <w:t>。</w:t>
      </w:r>
    </w:p>
    <w:p w14:paraId="255560D3" w14:textId="77777777" w:rsidR="00B57D1A" w:rsidRDefault="00B57D1A">
      <w:pPr>
        <w:rPr>
          <w:color w:val="000000"/>
        </w:rPr>
      </w:pPr>
      <w:r>
        <w:rPr>
          <w:color w:val="000000"/>
        </w:rPr>
        <w:t>3</w:t>
      </w:r>
      <w:r>
        <w:rPr>
          <w:color w:val="000000"/>
        </w:rPr>
        <w:t>、有交易经历</w:t>
      </w:r>
      <w:r>
        <w:rPr>
          <w:rFonts w:hint="eastAsia"/>
          <w:color w:val="000000"/>
        </w:rPr>
        <w:t>，</w:t>
      </w:r>
      <w:r>
        <w:rPr>
          <w:color w:val="000000"/>
        </w:rPr>
        <w:t>累计不少于</w:t>
      </w:r>
      <w:r>
        <w:rPr>
          <w:color w:val="000000"/>
        </w:rPr>
        <w:t>10</w:t>
      </w:r>
      <w:r>
        <w:rPr>
          <w:color w:val="000000"/>
        </w:rPr>
        <w:t>个交易日</w:t>
      </w:r>
      <w:r>
        <w:rPr>
          <w:rFonts w:hint="eastAsia"/>
          <w:color w:val="000000"/>
        </w:rPr>
        <w:t>，</w:t>
      </w:r>
      <w:r>
        <w:rPr>
          <w:color w:val="000000"/>
        </w:rPr>
        <w:t>且</w:t>
      </w:r>
      <w:r>
        <w:rPr>
          <w:color w:val="000000"/>
        </w:rPr>
        <w:t>20</w:t>
      </w:r>
      <w:r>
        <w:rPr>
          <w:color w:val="000000"/>
        </w:rPr>
        <w:t>笔及以上的境内场内期货或期权交易；或者近三年内具有</w:t>
      </w:r>
      <w:r>
        <w:rPr>
          <w:color w:val="000000"/>
        </w:rPr>
        <w:t>10</w:t>
      </w:r>
      <w:r>
        <w:rPr>
          <w:color w:val="000000"/>
        </w:rPr>
        <w:t>笔及以上的境内场内期货、期权或集中清算的其他衍生品交易；或者近三年内具有</w:t>
      </w:r>
      <w:r>
        <w:rPr>
          <w:color w:val="000000"/>
        </w:rPr>
        <w:t>10</w:t>
      </w:r>
      <w:r>
        <w:rPr>
          <w:color w:val="000000"/>
        </w:rPr>
        <w:t>笔及以上的认可境外成交记录</w:t>
      </w:r>
      <w:r>
        <w:rPr>
          <w:color w:val="000000"/>
        </w:rPr>
        <w:t>。</w:t>
      </w:r>
    </w:p>
    <w:p w14:paraId="57704515" w14:textId="77777777" w:rsidR="00B57D1A" w:rsidRDefault="00B57D1A">
      <w:pPr>
        <w:rPr>
          <w:rFonts w:hint="eastAsia"/>
          <w:color w:val="000000"/>
        </w:rPr>
      </w:pPr>
    </w:p>
    <w:p w14:paraId="09172CF2" w14:textId="77777777" w:rsidR="00B57D1A" w:rsidRDefault="00B57D1A">
      <w:pPr>
        <w:rPr>
          <w:rFonts w:hint="eastAsia"/>
          <w:color w:val="000000"/>
        </w:rPr>
      </w:pPr>
      <w:r>
        <w:rPr>
          <w:rFonts w:hint="eastAsia"/>
          <w:color w:val="000000"/>
        </w:rPr>
        <w:t>4</w:t>
      </w:r>
      <w:r>
        <w:rPr>
          <w:rFonts w:hint="eastAsia"/>
          <w:color w:val="000000"/>
        </w:rPr>
        <w:t>、无不良诚信记录</w:t>
      </w:r>
    </w:p>
    <w:p w14:paraId="5923EC1F" w14:textId="77777777" w:rsidR="00B57D1A" w:rsidRDefault="00B57D1A">
      <w:pPr>
        <w:rPr>
          <w:rFonts w:hint="eastAsia"/>
          <w:color w:val="000000"/>
        </w:rPr>
      </w:pPr>
      <w:r>
        <w:rPr>
          <w:rFonts w:hint="eastAsia"/>
          <w:color w:val="000000"/>
        </w:rPr>
        <w:t>机构客户需要满足“四有一无”的标准，即在个人客户标准上增加一条具有健全的内部控制、风险管理等期货交易管理相关制度。</w:t>
      </w:r>
    </w:p>
    <w:p w14:paraId="5226418B" w14:textId="77777777" w:rsidR="00B57D1A" w:rsidRDefault="00B57D1A">
      <w:pPr>
        <w:rPr>
          <w:color w:val="000000"/>
        </w:rPr>
      </w:pPr>
    </w:p>
    <w:p w14:paraId="20AD5AFF" w14:textId="77777777" w:rsidR="00B57D1A" w:rsidRDefault="00B57D1A">
      <w:pPr>
        <w:rPr>
          <w:color w:val="000000"/>
        </w:rPr>
      </w:pPr>
      <w:r>
        <w:rPr>
          <w:rFonts w:hint="eastAsia"/>
          <w:color w:val="000000"/>
        </w:rPr>
        <w:t>期权交易作为一种高风险投资工具</w:t>
      </w:r>
      <w:r>
        <w:rPr>
          <w:color w:val="000000"/>
        </w:rPr>
        <w:t>，</w:t>
      </w:r>
      <w:r>
        <w:rPr>
          <w:color w:val="000000"/>
        </w:rPr>
        <w:t>投资者需保持谨慎的态度，并在参与前应进行充分的风险评估。同时在交易中要</w:t>
      </w:r>
      <w:r>
        <w:rPr>
          <w:rFonts w:hint="eastAsia"/>
          <w:color w:val="000000"/>
        </w:rPr>
        <w:t>严格遵守交易所的各项规章制度，确保交易行为的合法性和合规性</w:t>
      </w:r>
      <w:r>
        <w:rPr>
          <w:color w:val="000000"/>
        </w:rPr>
        <w:t>。</w:t>
      </w:r>
    </w:p>
    <w:p w14:paraId="3588B8E3" w14:textId="77777777" w:rsidR="00B57D1A" w:rsidRDefault="00B57D1A">
      <w:pPr>
        <w:rPr>
          <w:color w:val="000000"/>
        </w:rPr>
      </w:pPr>
    </w:p>
    <w:p w14:paraId="5929A48B" w14:textId="77777777" w:rsidR="00B57D1A" w:rsidRDefault="00B57D1A">
      <w:pPr>
        <w:rPr>
          <w:rFonts w:hint="eastAsia"/>
          <w:color w:val="000000"/>
        </w:rPr>
      </w:pPr>
    </w:p>
    <w:p w14:paraId="2D9A5EA9" w14:textId="77777777" w:rsidR="00B57D1A" w:rsidRDefault="00B57D1A">
      <w:pPr>
        <w:rPr>
          <w:b/>
          <w:bCs/>
          <w:color w:val="000000"/>
        </w:rPr>
      </w:pPr>
      <w:r>
        <w:rPr>
          <w:rFonts w:hint="eastAsia"/>
          <w:b/>
          <w:bCs/>
          <w:color w:val="000000"/>
        </w:rPr>
        <w:t>三</w:t>
      </w:r>
      <w:r>
        <w:rPr>
          <w:b/>
          <w:bCs/>
          <w:color w:val="000000"/>
        </w:rPr>
        <w:t>、玻璃期权的交易机制</w:t>
      </w:r>
    </w:p>
    <w:p w14:paraId="162E3E08" w14:textId="77777777" w:rsidR="00B57D1A" w:rsidRDefault="00B57D1A">
      <w:pPr>
        <w:rPr>
          <w:rFonts w:hint="eastAsia"/>
          <w:color w:val="000000"/>
        </w:rPr>
      </w:pPr>
    </w:p>
    <w:p w14:paraId="070E7B12" w14:textId="77777777" w:rsidR="00B57D1A" w:rsidRDefault="00B57D1A">
      <w:pPr>
        <w:rPr>
          <w:rFonts w:hint="eastAsia"/>
          <w:color w:val="000000"/>
        </w:rPr>
      </w:pPr>
      <w:r>
        <w:rPr>
          <w:rFonts w:hint="eastAsia"/>
          <w:color w:val="000000"/>
        </w:rPr>
        <w:t>拥有期货交易权限的客户，即可进行期权交易。</w:t>
      </w:r>
    </w:p>
    <w:p w14:paraId="519423ED" w14:textId="77777777" w:rsidR="00B57D1A" w:rsidRDefault="00B57D1A">
      <w:pPr>
        <w:rPr>
          <w:rFonts w:hint="eastAsia"/>
          <w:color w:val="000000"/>
        </w:rPr>
      </w:pPr>
    </w:p>
    <w:p w14:paraId="3B331264" w14:textId="77777777" w:rsidR="00B57D1A" w:rsidRDefault="00B57D1A">
      <w:pPr>
        <w:rPr>
          <w:color w:val="000000"/>
        </w:rPr>
      </w:pPr>
      <w:r>
        <w:rPr>
          <w:color w:val="000000"/>
        </w:rPr>
        <w:t>在期权交易中，</w:t>
      </w:r>
      <w:r>
        <w:rPr>
          <w:rFonts w:hint="eastAsia"/>
          <w:color w:val="000000"/>
        </w:rPr>
        <w:t>存在买卖双方</w:t>
      </w:r>
      <w:r>
        <w:rPr>
          <w:color w:val="000000"/>
        </w:rPr>
        <w:t>。买方支付一定的费用（称为</w:t>
      </w:r>
      <w:r>
        <w:rPr>
          <w:color w:val="000000"/>
        </w:rPr>
        <w:t>“</w:t>
      </w:r>
      <w:r>
        <w:rPr>
          <w:color w:val="000000"/>
        </w:rPr>
        <w:t>权利金</w:t>
      </w:r>
      <w:r>
        <w:rPr>
          <w:color w:val="000000"/>
        </w:rPr>
        <w:t>”</w:t>
      </w:r>
      <w:r>
        <w:rPr>
          <w:color w:val="000000"/>
        </w:rPr>
        <w:t>）来获得这份未来的选择权</w:t>
      </w:r>
      <w:r>
        <w:rPr>
          <w:rFonts w:hint="eastAsia"/>
          <w:color w:val="000000"/>
        </w:rPr>
        <w:t>；</w:t>
      </w:r>
      <w:r>
        <w:rPr>
          <w:color w:val="000000"/>
        </w:rPr>
        <w:t>卖方则收取权利金，并承担在未来如果买方行使权利时，必须按约定条件进行交易的义务。</w:t>
      </w:r>
    </w:p>
    <w:p w14:paraId="31555142" w14:textId="77777777" w:rsidR="00B57D1A" w:rsidRDefault="00B57D1A">
      <w:pPr>
        <w:rPr>
          <w:color w:val="000000"/>
        </w:rPr>
      </w:pPr>
    </w:p>
    <w:p w14:paraId="311B1D08" w14:textId="77777777" w:rsidR="00B57D1A" w:rsidRDefault="00B57D1A">
      <w:pPr>
        <w:rPr>
          <w:color w:val="000000"/>
        </w:rPr>
      </w:pPr>
      <w:r>
        <w:rPr>
          <w:color w:val="000000"/>
        </w:rPr>
        <w:t>看涨期权赋予投资者在未来以约定的价格买入资产的权利。当投资者预期资产价格将上涨时，可以利用看涨期权以低于未来市场价的成本买入，从而享受价格上涨带来的收益。相反，看跌期权则允许投资者在未来以约定的价格卖出资产。这种期权适用于投资者预期资产价格将下跌的情况，因为它可以帮助投资者避免或减轻价格下跌可能造成的损失。投资者可根据对市场走势的判断，来选择适合自己的期权类型，利用市场价格的潜在变动，来获取利润或对冲风险。</w:t>
      </w:r>
    </w:p>
    <w:p w14:paraId="78357D64" w14:textId="77777777" w:rsidR="00B57D1A" w:rsidRDefault="00B57D1A">
      <w:pPr>
        <w:rPr>
          <w:color w:val="000000"/>
        </w:rPr>
      </w:pPr>
    </w:p>
    <w:p w14:paraId="37185C17" w14:textId="77777777" w:rsidR="00B57D1A" w:rsidRDefault="00B57D1A">
      <w:pPr>
        <w:rPr>
          <w:color w:val="000000"/>
        </w:rPr>
      </w:pPr>
      <w:r>
        <w:rPr>
          <w:color w:val="000000"/>
        </w:rPr>
        <w:t>每个期权都有一个到期日，这是可以行使权利的最后日期。如果作为买方决定行权（称为</w:t>
      </w:r>
      <w:r>
        <w:rPr>
          <w:color w:val="000000"/>
        </w:rPr>
        <w:t>“</w:t>
      </w:r>
      <w:r>
        <w:rPr>
          <w:color w:val="000000"/>
        </w:rPr>
        <w:t>执行</w:t>
      </w:r>
      <w:r>
        <w:rPr>
          <w:color w:val="000000"/>
        </w:rPr>
        <w:t>”</w:t>
      </w:r>
      <w:r>
        <w:rPr>
          <w:color w:val="000000"/>
        </w:rPr>
        <w:t>），那么作为卖方的另一方就必须履行合约。如果选择不执行，期权到期后就自动失效，</w:t>
      </w:r>
      <w:r>
        <w:rPr>
          <w:color w:val="000000"/>
        </w:rPr>
        <w:lastRenderedPageBreak/>
        <w:t>支付的权利金也就归卖方所有了。</w:t>
      </w:r>
    </w:p>
    <w:p w14:paraId="3C91B473" w14:textId="77777777" w:rsidR="00B57D1A" w:rsidRDefault="00B57D1A">
      <w:pPr>
        <w:rPr>
          <w:color w:val="000000"/>
        </w:rPr>
      </w:pPr>
    </w:p>
    <w:p w14:paraId="3CC46E4D" w14:textId="77777777" w:rsidR="00B57D1A" w:rsidRDefault="00B57D1A">
      <w:pPr>
        <w:rPr>
          <w:color w:val="000000"/>
        </w:rPr>
      </w:pPr>
      <w:r>
        <w:rPr>
          <w:color w:val="000000"/>
        </w:rPr>
        <w:t>期权交易具有杠杆效应，意味着可以</w:t>
      </w:r>
      <w:r>
        <w:rPr>
          <w:color w:val="000000"/>
        </w:rPr>
        <w:t>用较少的资金控制较大的资产</w:t>
      </w:r>
      <w:r>
        <w:rPr>
          <w:color w:val="000000"/>
        </w:rPr>
        <w:t>，</w:t>
      </w:r>
      <w:r>
        <w:rPr>
          <w:color w:val="000000"/>
        </w:rPr>
        <w:t>收益可能会远远超过最初的投资。但这也带来了高风险，如果市场走势与预期相反，可能会损失大部分</w:t>
      </w:r>
      <w:r>
        <w:rPr>
          <w:color w:val="000000"/>
        </w:rPr>
        <w:t>或全部</w:t>
      </w:r>
      <w:r>
        <w:rPr>
          <w:color w:val="000000"/>
        </w:rPr>
        <w:t>的投资。</w:t>
      </w:r>
      <w:r>
        <w:rPr>
          <w:color w:val="000000"/>
        </w:rPr>
        <w:t>比如在</w:t>
      </w:r>
      <w:r>
        <w:rPr>
          <w:color w:val="000000"/>
        </w:rPr>
        <w:t>1993</w:t>
      </w:r>
      <w:r>
        <w:rPr>
          <w:color w:val="000000"/>
        </w:rPr>
        <w:t>年，巴菲特利用期权策略成功增持可口可乐，通过卖出看跌期权，在股价未跌至执行价时保留权利金，并后续以低价增持，降低了成本并增加了收益。相反，在</w:t>
      </w:r>
      <w:r>
        <w:rPr>
          <w:color w:val="000000"/>
        </w:rPr>
        <w:t>2004</w:t>
      </w:r>
      <w:r>
        <w:rPr>
          <w:color w:val="000000"/>
        </w:rPr>
        <w:t>年时，</w:t>
      </w:r>
      <w:r>
        <w:rPr>
          <w:color w:val="000000"/>
        </w:rPr>
        <w:t>*</w:t>
      </w:r>
      <w:r>
        <w:rPr>
          <w:color w:val="000000"/>
        </w:rPr>
        <w:t>油在东南亚的</w:t>
      </w:r>
      <w:r>
        <w:rPr>
          <w:color w:val="000000"/>
        </w:rPr>
        <w:t>*</w:t>
      </w:r>
      <w:r>
        <w:rPr>
          <w:color w:val="000000"/>
        </w:rPr>
        <w:t>分公司本想通过期权交易避免油价风险，但因误判市场，油价上涨时，未止损，反而采取了更激进的投机策略，最后公司无法支付保证金，被迫在油价高位进行强制平仓，致使实际亏损超</w:t>
      </w:r>
      <w:r>
        <w:rPr>
          <w:color w:val="000000"/>
        </w:rPr>
        <w:t>3</w:t>
      </w:r>
      <w:r>
        <w:rPr>
          <w:color w:val="000000"/>
        </w:rPr>
        <w:t>亿美元。</w:t>
      </w:r>
    </w:p>
    <w:p w14:paraId="56C86799" w14:textId="77777777" w:rsidR="00B57D1A" w:rsidRDefault="00B57D1A">
      <w:pPr>
        <w:rPr>
          <w:color w:val="000000"/>
        </w:rPr>
      </w:pPr>
    </w:p>
    <w:p w14:paraId="613B3A70" w14:textId="77777777" w:rsidR="00B57D1A" w:rsidRDefault="00B57D1A">
      <w:pPr>
        <w:rPr>
          <w:color w:val="000000"/>
        </w:rPr>
      </w:pPr>
      <w:r>
        <w:rPr>
          <w:color w:val="000000"/>
        </w:rPr>
        <w:t>由于</w:t>
      </w:r>
      <w:r>
        <w:rPr>
          <w:color w:val="000000"/>
        </w:rPr>
        <w:t>玻璃期权标的资产是玻璃，是一种非金属材料，在期权市场中的表现与金属和农产品等商品存在显著差异。金属（如铜、铝等）价格受全球经济形势、货币政策、供需关系等因素影响。农产品价格与气候、种植季节、存储条件、出口政策等密切相关。玻璃</w:t>
      </w:r>
      <w:r>
        <w:rPr>
          <w:color w:val="000000"/>
        </w:rPr>
        <w:t>产业</w:t>
      </w:r>
      <w:r>
        <w:rPr>
          <w:color w:val="000000"/>
        </w:rPr>
        <w:t>与</w:t>
      </w:r>
      <w:r>
        <w:rPr>
          <w:color w:val="000000"/>
        </w:rPr>
        <w:t>建筑</w:t>
      </w:r>
      <w:r>
        <w:rPr>
          <w:color w:val="000000"/>
        </w:rPr>
        <w:t>房地产、汽车等行业紧密相关，其价格</w:t>
      </w:r>
      <w:r>
        <w:rPr>
          <w:color w:val="000000"/>
        </w:rPr>
        <w:t>涨跌</w:t>
      </w:r>
      <w:r>
        <w:rPr>
          <w:color w:val="000000"/>
        </w:rPr>
        <w:t>受这些行业的周期性波动和宏观政策影响较大。</w:t>
      </w:r>
      <w:r>
        <w:rPr>
          <w:color w:val="000000"/>
        </w:rPr>
        <w:t>因此，无论是</w:t>
      </w:r>
      <w:r>
        <w:rPr>
          <w:color w:val="000000"/>
        </w:rPr>
        <w:t>企业</w:t>
      </w:r>
      <w:r>
        <w:rPr>
          <w:color w:val="000000"/>
        </w:rPr>
        <w:t>或</w:t>
      </w:r>
      <w:r>
        <w:rPr>
          <w:rFonts w:hint="eastAsia"/>
          <w:color w:val="000000"/>
        </w:rPr>
        <w:t>个人</w:t>
      </w:r>
      <w:r>
        <w:rPr>
          <w:color w:val="000000"/>
        </w:rPr>
        <w:t>，</w:t>
      </w:r>
      <w:r>
        <w:rPr>
          <w:rFonts w:hint="eastAsia"/>
          <w:color w:val="000000"/>
        </w:rPr>
        <w:t>在参与玻璃期权</w:t>
      </w:r>
      <w:r>
        <w:rPr>
          <w:color w:val="000000"/>
        </w:rPr>
        <w:t>投资</w:t>
      </w:r>
      <w:r>
        <w:rPr>
          <w:rFonts w:hint="eastAsia"/>
          <w:color w:val="000000"/>
        </w:rPr>
        <w:t>交易时，应充分了解市场风险，遵守相关法律法规，选择正规渠道，做到理性投资</w:t>
      </w:r>
      <w:r>
        <w:rPr>
          <w:color w:val="000000"/>
        </w:rPr>
        <w:t>。</w:t>
      </w:r>
    </w:p>
    <w:p w14:paraId="383DBD12" w14:textId="77777777" w:rsidR="00B57D1A" w:rsidRDefault="00B57D1A">
      <w:pPr>
        <w:rPr>
          <w:color w:val="000000"/>
        </w:rPr>
      </w:pPr>
    </w:p>
    <w:p w14:paraId="338B21F9" w14:textId="77777777" w:rsidR="00B57D1A" w:rsidRDefault="00B57D1A">
      <w:pPr>
        <w:rPr>
          <w:color w:val="000000"/>
        </w:rPr>
      </w:pPr>
    </w:p>
    <w:p w14:paraId="7BA31D67" w14:textId="77777777" w:rsidR="00B57D1A" w:rsidRDefault="00B57D1A">
      <w:pPr>
        <w:rPr>
          <w:b/>
          <w:bCs/>
          <w:color w:val="000000"/>
        </w:rPr>
      </w:pPr>
      <w:r>
        <w:rPr>
          <w:b/>
          <w:bCs/>
          <w:color w:val="000000"/>
        </w:rPr>
        <w:t>四、</w:t>
      </w:r>
      <w:r>
        <w:rPr>
          <w:rFonts w:hint="eastAsia"/>
          <w:b/>
          <w:bCs/>
          <w:color w:val="000000"/>
        </w:rPr>
        <w:t>期权和期货的区别</w:t>
      </w:r>
    </w:p>
    <w:p w14:paraId="3BABF15A" w14:textId="77777777" w:rsidR="00B57D1A" w:rsidRDefault="00B57D1A">
      <w:pPr>
        <w:rPr>
          <w:rFonts w:hint="eastAsia"/>
          <w:color w:val="000000"/>
        </w:rPr>
      </w:pPr>
      <w:r>
        <w:rPr>
          <w:rFonts w:hint="eastAsia"/>
          <w:color w:val="000000"/>
        </w:rPr>
        <w:t>在期权上市之前，</w:t>
      </w:r>
      <w:r>
        <w:rPr>
          <w:rFonts w:hint="eastAsia"/>
          <w:color w:val="000000"/>
        </w:rPr>
        <w:t>2012</w:t>
      </w:r>
      <w:r>
        <w:rPr>
          <w:rFonts w:hint="eastAsia"/>
          <w:color w:val="000000"/>
        </w:rPr>
        <w:t>年</w:t>
      </w:r>
      <w:r>
        <w:rPr>
          <w:color w:val="000000"/>
        </w:rPr>
        <w:t>，玻璃期货就</w:t>
      </w:r>
      <w:r>
        <w:rPr>
          <w:rFonts w:hint="eastAsia"/>
          <w:color w:val="000000"/>
        </w:rPr>
        <w:t>已</w:t>
      </w:r>
      <w:r>
        <w:rPr>
          <w:color w:val="000000"/>
        </w:rPr>
        <w:t>上市。</w:t>
      </w:r>
      <w:r>
        <w:rPr>
          <w:rFonts w:hint="eastAsia"/>
          <w:color w:val="000000"/>
        </w:rPr>
        <w:t>玻璃期货与玻璃产业相互</w:t>
      </w:r>
      <w:r>
        <w:rPr>
          <w:rFonts w:hint="eastAsia"/>
          <w:color w:val="000000"/>
        </w:rPr>
        <w:t>促进，为企业实现了降本增效。</w:t>
      </w:r>
      <w:r>
        <w:rPr>
          <w:color w:val="000000"/>
        </w:rPr>
        <w:t>然而，值得注意的是，尽管期货和期权均聚焦于玻璃市场，但其内在属性与功能机制却存在本质上的区别，各自扮演着不同的市场角色与功能。</w:t>
      </w:r>
      <w:r>
        <w:rPr>
          <w:rFonts w:hint="eastAsia"/>
          <w:color w:val="000000"/>
        </w:rPr>
        <w:t>比如：</w:t>
      </w:r>
    </w:p>
    <w:p w14:paraId="4E56EA21" w14:textId="77777777" w:rsidR="00B57D1A" w:rsidRDefault="00B57D1A">
      <w:pPr>
        <w:rPr>
          <w:rFonts w:hint="eastAsia"/>
          <w:color w:val="000000"/>
        </w:rPr>
      </w:pPr>
    </w:p>
    <w:p w14:paraId="7760C50F" w14:textId="77777777" w:rsidR="00B57D1A" w:rsidRDefault="00B57D1A">
      <w:pPr>
        <w:rPr>
          <w:rFonts w:hint="eastAsia"/>
          <w:color w:val="000000"/>
        </w:rPr>
      </w:pPr>
      <w:r>
        <w:rPr>
          <w:rFonts w:hint="eastAsia"/>
          <w:color w:val="000000"/>
        </w:rPr>
        <w:t>标的物（事人双方权利义务指向的对象）：</w:t>
      </w:r>
    </w:p>
    <w:p w14:paraId="5674BED1" w14:textId="77777777" w:rsidR="00B57D1A" w:rsidRDefault="00B57D1A">
      <w:pPr>
        <w:rPr>
          <w:rFonts w:hint="eastAsia"/>
          <w:color w:val="000000"/>
        </w:rPr>
      </w:pPr>
      <w:r>
        <w:rPr>
          <w:rFonts w:hint="eastAsia"/>
          <w:color w:val="000000"/>
        </w:rPr>
        <w:t>期货：交易的标的物是玻璃期货合约。</w:t>
      </w:r>
    </w:p>
    <w:p w14:paraId="57C94731" w14:textId="77777777" w:rsidR="00B57D1A" w:rsidRDefault="00B57D1A">
      <w:pPr>
        <w:rPr>
          <w:rFonts w:hint="eastAsia"/>
          <w:color w:val="000000"/>
        </w:rPr>
      </w:pPr>
      <w:r>
        <w:rPr>
          <w:rFonts w:hint="eastAsia"/>
          <w:color w:val="000000"/>
        </w:rPr>
        <w:t>期权：交易的标的物是购买或出售玻璃</w:t>
      </w:r>
      <w:r>
        <w:rPr>
          <w:color w:val="000000"/>
        </w:rPr>
        <w:t>期货合约</w:t>
      </w:r>
      <w:r>
        <w:rPr>
          <w:rFonts w:hint="eastAsia"/>
          <w:color w:val="000000"/>
        </w:rPr>
        <w:t>的权利。</w:t>
      </w:r>
    </w:p>
    <w:p w14:paraId="5FBD18E3" w14:textId="77777777" w:rsidR="00B57D1A" w:rsidRDefault="00B57D1A">
      <w:pPr>
        <w:rPr>
          <w:rFonts w:hint="eastAsia"/>
          <w:color w:val="000000"/>
        </w:rPr>
      </w:pPr>
    </w:p>
    <w:p w14:paraId="7470A07E" w14:textId="77777777" w:rsidR="00B57D1A" w:rsidRDefault="00B57D1A">
      <w:pPr>
        <w:rPr>
          <w:rFonts w:hint="eastAsia"/>
          <w:color w:val="000000"/>
        </w:rPr>
      </w:pPr>
      <w:r>
        <w:rPr>
          <w:rFonts w:hint="eastAsia"/>
          <w:color w:val="000000"/>
        </w:rPr>
        <w:t>权利义务：</w:t>
      </w:r>
    </w:p>
    <w:p w14:paraId="1FC9EE6C" w14:textId="77777777" w:rsidR="00B57D1A" w:rsidRDefault="00B57D1A">
      <w:pPr>
        <w:rPr>
          <w:rFonts w:hint="eastAsia"/>
          <w:color w:val="000000"/>
        </w:rPr>
      </w:pPr>
      <w:r>
        <w:rPr>
          <w:rFonts w:hint="eastAsia"/>
          <w:color w:val="000000"/>
        </w:rPr>
        <w:t>期货：买卖双方都有交割义务，可选择对冲。</w:t>
      </w:r>
    </w:p>
    <w:p w14:paraId="20CC6766" w14:textId="77777777" w:rsidR="00B57D1A" w:rsidRDefault="00B57D1A">
      <w:pPr>
        <w:rPr>
          <w:rFonts w:hint="eastAsia"/>
          <w:color w:val="000000"/>
        </w:rPr>
      </w:pPr>
      <w:r>
        <w:rPr>
          <w:rFonts w:hint="eastAsia"/>
          <w:color w:val="000000"/>
        </w:rPr>
        <w:t>期权：买方有权利选择是否执行，卖方有义务履约。</w:t>
      </w:r>
    </w:p>
    <w:p w14:paraId="5CA77671" w14:textId="77777777" w:rsidR="00B57D1A" w:rsidRDefault="00B57D1A">
      <w:pPr>
        <w:rPr>
          <w:rFonts w:hint="eastAsia"/>
          <w:color w:val="000000"/>
        </w:rPr>
      </w:pPr>
    </w:p>
    <w:p w14:paraId="1F77A458" w14:textId="77777777" w:rsidR="00B57D1A" w:rsidRDefault="00B57D1A">
      <w:pPr>
        <w:rPr>
          <w:rFonts w:hint="eastAsia"/>
          <w:color w:val="000000"/>
        </w:rPr>
      </w:pPr>
      <w:r>
        <w:rPr>
          <w:rFonts w:hint="eastAsia"/>
          <w:color w:val="000000"/>
        </w:rPr>
        <w:t>履约保证：</w:t>
      </w:r>
    </w:p>
    <w:p w14:paraId="4BE88EE6" w14:textId="77777777" w:rsidR="00B57D1A" w:rsidRDefault="00B57D1A">
      <w:pPr>
        <w:rPr>
          <w:rFonts w:hint="eastAsia"/>
          <w:color w:val="000000"/>
        </w:rPr>
      </w:pPr>
      <w:r>
        <w:rPr>
          <w:rFonts w:hint="eastAsia"/>
          <w:color w:val="000000"/>
        </w:rPr>
        <w:t>期货：买卖双方都需要缴纳保证金。</w:t>
      </w:r>
    </w:p>
    <w:p w14:paraId="33BED99C" w14:textId="77777777" w:rsidR="00B57D1A" w:rsidRDefault="00B57D1A">
      <w:pPr>
        <w:rPr>
          <w:rFonts w:hint="eastAsia"/>
          <w:color w:val="000000"/>
        </w:rPr>
      </w:pPr>
      <w:r>
        <w:rPr>
          <w:rFonts w:hint="eastAsia"/>
          <w:color w:val="000000"/>
        </w:rPr>
        <w:t>期权：买方只需支付权利金，卖方需缴纳保证金。</w:t>
      </w:r>
    </w:p>
    <w:p w14:paraId="3BAEF729" w14:textId="77777777" w:rsidR="00B57D1A" w:rsidRDefault="00B57D1A">
      <w:pPr>
        <w:rPr>
          <w:rFonts w:hint="eastAsia"/>
          <w:color w:val="000000"/>
        </w:rPr>
      </w:pPr>
    </w:p>
    <w:p w14:paraId="424CB04B" w14:textId="77777777" w:rsidR="00B57D1A" w:rsidRDefault="00B57D1A">
      <w:pPr>
        <w:rPr>
          <w:rFonts w:hint="eastAsia"/>
          <w:color w:val="000000"/>
        </w:rPr>
      </w:pPr>
      <w:r>
        <w:rPr>
          <w:rFonts w:hint="eastAsia"/>
          <w:color w:val="000000"/>
        </w:rPr>
        <w:t>盈亏特性：</w:t>
      </w:r>
    </w:p>
    <w:p w14:paraId="13140344" w14:textId="77777777" w:rsidR="00B57D1A" w:rsidRDefault="00B57D1A">
      <w:pPr>
        <w:rPr>
          <w:rFonts w:hint="eastAsia"/>
          <w:color w:val="000000"/>
        </w:rPr>
      </w:pPr>
      <w:r>
        <w:rPr>
          <w:rFonts w:hint="eastAsia"/>
          <w:color w:val="000000"/>
        </w:rPr>
        <w:t>期货：买卖双方盈亏线性，风险无限。</w:t>
      </w:r>
    </w:p>
    <w:p w14:paraId="01CE0F44" w14:textId="77777777" w:rsidR="00B57D1A" w:rsidRDefault="00B57D1A">
      <w:pPr>
        <w:rPr>
          <w:rFonts w:hint="eastAsia"/>
          <w:color w:val="000000"/>
        </w:rPr>
      </w:pPr>
      <w:r>
        <w:rPr>
          <w:rFonts w:hint="eastAsia"/>
          <w:color w:val="000000"/>
        </w:rPr>
        <w:t>期权：买方最大亏损为权利金，卖方最大收益为权利金。</w:t>
      </w:r>
    </w:p>
    <w:p w14:paraId="592C42B9" w14:textId="77777777" w:rsidR="00B57D1A" w:rsidRDefault="00B57D1A">
      <w:pPr>
        <w:rPr>
          <w:rFonts w:hint="eastAsia"/>
          <w:color w:val="000000"/>
        </w:rPr>
      </w:pPr>
    </w:p>
    <w:p w14:paraId="120894B2" w14:textId="77777777" w:rsidR="00B57D1A" w:rsidRDefault="00B57D1A">
      <w:pPr>
        <w:rPr>
          <w:rFonts w:hint="eastAsia"/>
          <w:color w:val="000000"/>
        </w:rPr>
      </w:pPr>
      <w:r>
        <w:rPr>
          <w:rFonts w:hint="eastAsia"/>
          <w:color w:val="000000"/>
        </w:rPr>
        <w:t>市场应用：</w:t>
      </w:r>
    </w:p>
    <w:p w14:paraId="6E3D20D7" w14:textId="77777777" w:rsidR="00B57D1A" w:rsidRDefault="00B57D1A">
      <w:pPr>
        <w:rPr>
          <w:rFonts w:hint="eastAsia"/>
          <w:color w:val="000000"/>
        </w:rPr>
      </w:pPr>
      <w:r>
        <w:rPr>
          <w:rFonts w:hint="eastAsia"/>
          <w:color w:val="000000"/>
        </w:rPr>
        <w:t>期货：主要用于套期保值，锁定价格。</w:t>
      </w:r>
    </w:p>
    <w:p w14:paraId="3A21D071" w14:textId="77777777" w:rsidR="00B57D1A" w:rsidRDefault="00B57D1A">
      <w:pPr>
        <w:rPr>
          <w:rFonts w:hint="eastAsia"/>
          <w:color w:val="000000"/>
        </w:rPr>
      </w:pPr>
      <w:r>
        <w:rPr>
          <w:rFonts w:hint="eastAsia"/>
          <w:color w:val="000000"/>
        </w:rPr>
        <w:t>期权：为投资者提供更灵活的风险管理工具，适用于精细化的避险需求。</w:t>
      </w:r>
    </w:p>
    <w:p w14:paraId="3E464E1A" w14:textId="77777777" w:rsidR="00B57D1A" w:rsidRDefault="00B57D1A">
      <w:pPr>
        <w:rPr>
          <w:color w:val="000000"/>
        </w:rPr>
      </w:pPr>
    </w:p>
    <w:p w14:paraId="2A2F0720" w14:textId="77777777" w:rsidR="00B57D1A" w:rsidRDefault="00B57D1A">
      <w:pPr>
        <w:rPr>
          <w:color w:val="000000"/>
        </w:rPr>
      </w:pPr>
      <w:r>
        <w:rPr>
          <w:color w:val="000000"/>
        </w:rPr>
        <w:t>玻璃期货与玻璃期权为市场构筑了一个更为完善的多元化风险管理体系。两者在独立运作之</w:t>
      </w:r>
      <w:r>
        <w:rPr>
          <w:color w:val="000000"/>
        </w:rPr>
        <w:lastRenderedPageBreak/>
        <w:t>外，还可策略性地结合使用，发挥互补优势，是市场参与者灵活多样的风险管理工具。</w:t>
      </w:r>
    </w:p>
    <w:p w14:paraId="69311BA2" w14:textId="77777777" w:rsidR="00B57D1A" w:rsidRDefault="00B57D1A">
      <w:pPr>
        <w:rPr>
          <w:rFonts w:hint="eastAsia"/>
          <w:color w:val="000000"/>
        </w:rPr>
      </w:pPr>
    </w:p>
    <w:p w14:paraId="1BFDFADC" w14:textId="77777777" w:rsidR="00B57D1A" w:rsidRDefault="00B57D1A">
      <w:pPr>
        <w:rPr>
          <w:color w:val="000000"/>
        </w:rPr>
      </w:pPr>
      <w:r>
        <w:rPr>
          <w:color w:val="000000"/>
        </w:rPr>
        <w:t>下</w:t>
      </w:r>
      <w:r>
        <w:rPr>
          <w:color w:val="000000"/>
        </w:rPr>
        <w:t>一</w:t>
      </w:r>
      <w:r>
        <w:rPr>
          <w:color w:val="000000"/>
        </w:rPr>
        <w:t>期</w:t>
      </w:r>
      <w:r>
        <w:rPr>
          <w:rFonts w:hint="eastAsia"/>
          <w:color w:val="000000"/>
        </w:rPr>
        <w:t>大课堂将介绍关于玻璃期货的知识，敬请期待！如有其他想了解的玻璃知识，欢迎留言、评论</w:t>
      </w:r>
      <w:r>
        <w:rPr>
          <w:rFonts w:hint="eastAsia"/>
          <w:color w:val="000000"/>
        </w:rPr>
        <w:t>~</w:t>
      </w:r>
    </w:p>
    <w:sectPr w:rsidR="00B57D1A">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E6EB7" w14:textId="77777777" w:rsidR="00B57D1A" w:rsidRDefault="00B57D1A" w:rsidP="008C42F4">
      <w:r>
        <w:separator/>
      </w:r>
    </w:p>
  </w:endnote>
  <w:endnote w:type="continuationSeparator" w:id="0">
    <w:p w14:paraId="41D3B8E7" w14:textId="77777777" w:rsidR="00B57D1A" w:rsidRDefault="00B57D1A" w:rsidP="008C4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16CB1" w14:textId="77777777" w:rsidR="00B57D1A" w:rsidRDefault="00B57D1A" w:rsidP="008C42F4">
      <w:r>
        <w:separator/>
      </w:r>
    </w:p>
  </w:footnote>
  <w:footnote w:type="continuationSeparator" w:id="0">
    <w:p w14:paraId="3EC9877B" w14:textId="77777777" w:rsidR="00B57D1A" w:rsidRDefault="00B57D1A" w:rsidP="008C42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72DE7F"/>
    <w:multiLevelType w:val="singleLevel"/>
    <w:tmpl w:val="FF72DE7F"/>
    <w:lvl w:ilvl="0">
      <w:start w:val="1"/>
      <w:numFmt w:val="decimal"/>
      <w:suff w:val="nothing"/>
      <w:lvlText w:val="%1、"/>
      <w:lvlJc w:val="left"/>
    </w:lvl>
  </w:abstractNum>
  <w:abstractNum w:abstractNumId="1" w15:restartNumberingAfterBreak="0">
    <w:nsid w:val="2B677617"/>
    <w:multiLevelType w:val="singleLevel"/>
    <w:tmpl w:val="2B677617"/>
    <w:lvl w:ilvl="0">
      <w:start w:val="4"/>
      <w:numFmt w:val="decimal"/>
      <w:suff w:val="nothing"/>
      <w:lvlText w:val="%1、"/>
      <w:lvlJc w:val="left"/>
    </w:lvl>
  </w:abstractNum>
  <w:num w:numId="1" w16cid:durableId="929969294">
    <w:abstractNumId w:val="1"/>
  </w:num>
  <w:num w:numId="2" w16cid:durableId="1895384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DI3ODcyYTJlM2EwZDg3OWQ1OTFkZDBlMDNkMGJlNTIifQ=="/>
  </w:docVars>
  <w:rsids>
    <w:rsidRoot w:val="008C42F4"/>
    <w:rsid w:val="006B4F71"/>
    <w:rsid w:val="008C42F4"/>
    <w:rsid w:val="00B57D1A"/>
    <w:rsid w:val="013521A9"/>
    <w:rsid w:val="029C50F5"/>
    <w:rsid w:val="039B5B6E"/>
    <w:rsid w:val="03A314B9"/>
    <w:rsid w:val="052132CD"/>
    <w:rsid w:val="05D06823"/>
    <w:rsid w:val="07AD036E"/>
    <w:rsid w:val="0B095168"/>
    <w:rsid w:val="0B353632"/>
    <w:rsid w:val="0B42435B"/>
    <w:rsid w:val="0C1C7A68"/>
    <w:rsid w:val="0E625C06"/>
    <w:rsid w:val="10B62EC4"/>
    <w:rsid w:val="137D5290"/>
    <w:rsid w:val="15F9AAEB"/>
    <w:rsid w:val="1791130A"/>
    <w:rsid w:val="18980476"/>
    <w:rsid w:val="190C62D4"/>
    <w:rsid w:val="1ADA2FC8"/>
    <w:rsid w:val="1D0E51AB"/>
    <w:rsid w:val="1DFF8F1E"/>
    <w:rsid w:val="1EDFAAA5"/>
    <w:rsid w:val="1F4201E6"/>
    <w:rsid w:val="1F4FC71F"/>
    <w:rsid w:val="1FD91354"/>
    <w:rsid w:val="20391EBA"/>
    <w:rsid w:val="208321FA"/>
    <w:rsid w:val="21B42351"/>
    <w:rsid w:val="24B16B47"/>
    <w:rsid w:val="24EE7D9B"/>
    <w:rsid w:val="254865FB"/>
    <w:rsid w:val="26EA3526"/>
    <w:rsid w:val="27624780"/>
    <w:rsid w:val="27D03788"/>
    <w:rsid w:val="27F5E985"/>
    <w:rsid w:val="29977D32"/>
    <w:rsid w:val="2A204996"/>
    <w:rsid w:val="2B5446D0"/>
    <w:rsid w:val="2DEEDAA8"/>
    <w:rsid w:val="2F0CBA40"/>
    <w:rsid w:val="2FF05140"/>
    <w:rsid w:val="31A54044"/>
    <w:rsid w:val="31C123F1"/>
    <w:rsid w:val="328A6C2A"/>
    <w:rsid w:val="32EE13F4"/>
    <w:rsid w:val="33B45D0C"/>
    <w:rsid w:val="34A71D15"/>
    <w:rsid w:val="34D83C7C"/>
    <w:rsid w:val="34DA1676"/>
    <w:rsid w:val="35DB099C"/>
    <w:rsid w:val="36444DBA"/>
    <w:rsid w:val="36B715F2"/>
    <w:rsid w:val="3715771D"/>
    <w:rsid w:val="37704640"/>
    <w:rsid w:val="37BFB8A0"/>
    <w:rsid w:val="37EFC28C"/>
    <w:rsid w:val="37F8FD3A"/>
    <w:rsid w:val="38FF80A5"/>
    <w:rsid w:val="39CE1AF2"/>
    <w:rsid w:val="39FF150A"/>
    <w:rsid w:val="3BB99FF0"/>
    <w:rsid w:val="3C1E4CE8"/>
    <w:rsid w:val="3E7BD5D4"/>
    <w:rsid w:val="3EF63F3E"/>
    <w:rsid w:val="3F3F275F"/>
    <w:rsid w:val="3F5B5BD6"/>
    <w:rsid w:val="3F6C7D92"/>
    <w:rsid w:val="3F7F17B1"/>
    <w:rsid w:val="3FAF7CCF"/>
    <w:rsid w:val="3FDF2F15"/>
    <w:rsid w:val="3FF5635B"/>
    <w:rsid w:val="3FF795EF"/>
    <w:rsid w:val="3FFB626A"/>
    <w:rsid w:val="41F13F3D"/>
    <w:rsid w:val="43A22025"/>
    <w:rsid w:val="441F5424"/>
    <w:rsid w:val="444C1F91"/>
    <w:rsid w:val="4AFA2747"/>
    <w:rsid w:val="4B8B15F1"/>
    <w:rsid w:val="4EA41F28"/>
    <w:rsid w:val="4FEE65F2"/>
    <w:rsid w:val="4FFB6B4E"/>
    <w:rsid w:val="5059611B"/>
    <w:rsid w:val="516B4582"/>
    <w:rsid w:val="553D823D"/>
    <w:rsid w:val="55D911AB"/>
    <w:rsid w:val="55DFFD41"/>
    <w:rsid w:val="55EF7197"/>
    <w:rsid w:val="56FF1EC8"/>
    <w:rsid w:val="577CB787"/>
    <w:rsid w:val="57FD1FB0"/>
    <w:rsid w:val="58DD8024"/>
    <w:rsid w:val="5B3CF0DC"/>
    <w:rsid w:val="5B8C2E90"/>
    <w:rsid w:val="5BBFAEF7"/>
    <w:rsid w:val="5BEFAEBF"/>
    <w:rsid w:val="5CD23853"/>
    <w:rsid w:val="5D6D5C15"/>
    <w:rsid w:val="5DDBD862"/>
    <w:rsid w:val="5DF03AEF"/>
    <w:rsid w:val="5DF57916"/>
    <w:rsid w:val="5EEE5415"/>
    <w:rsid w:val="5F7E266D"/>
    <w:rsid w:val="5FF2D009"/>
    <w:rsid w:val="5FFBEBC4"/>
    <w:rsid w:val="6744E0ED"/>
    <w:rsid w:val="675FF1FB"/>
    <w:rsid w:val="686C74E2"/>
    <w:rsid w:val="687BBDC9"/>
    <w:rsid w:val="68FF7E90"/>
    <w:rsid w:val="69630EE5"/>
    <w:rsid w:val="69FF9993"/>
    <w:rsid w:val="6A7F3FB1"/>
    <w:rsid w:val="6AFAAD9C"/>
    <w:rsid w:val="6BD79C27"/>
    <w:rsid w:val="6BEFD5B0"/>
    <w:rsid w:val="6C5E126C"/>
    <w:rsid w:val="6CB7EC87"/>
    <w:rsid w:val="6DBDA68C"/>
    <w:rsid w:val="6DE2ED3E"/>
    <w:rsid w:val="6F9DE77E"/>
    <w:rsid w:val="6FD612FD"/>
    <w:rsid w:val="6FFF8012"/>
    <w:rsid w:val="70BC5C25"/>
    <w:rsid w:val="71BF0889"/>
    <w:rsid w:val="723B4F13"/>
    <w:rsid w:val="72DEFE50"/>
    <w:rsid w:val="751A59DC"/>
    <w:rsid w:val="759F42DD"/>
    <w:rsid w:val="759F5CAD"/>
    <w:rsid w:val="762E1165"/>
    <w:rsid w:val="76AB1530"/>
    <w:rsid w:val="77866F8C"/>
    <w:rsid w:val="77FB549A"/>
    <w:rsid w:val="79363A98"/>
    <w:rsid w:val="7A0348C4"/>
    <w:rsid w:val="7A8E43D0"/>
    <w:rsid w:val="7AF740DD"/>
    <w:rsid w:val="7B045B68"/>
    <w:rsid w:val="7B5B0730"/>
    <w:rsid w:val="7B7ACA01"/>
    <w:rsid w:val="7BF323C1"/>
    <w:rsid w:val="7C6D071B"/>
    <w:rsid w:val="7C769690"/>
    <w:rsid w:val="7CEF472B"/>
    <w:rsid w:val="7CFE9611"/>
    <w:rsid w:val="7D2F7EC4"/>
    <w:rsid w:val="7D6FC2C1"/>
    <w:rsid w:val="7D7FD699"/>
    <w:rsid w:val="7DB7C891"/>
    <w:rsid w:val="7DDDBD7A"/>
    <w:rsid w:val="7DDFA1FB"/>
    <w:rsid w:val="7EDBE3A6"/>
    <w:rsid w:val="7EFA13C3"/>
    <w:rsid w:val="7EFF730C"/>
    <w:rsid w:val="7EFF9E0B"/>
    <w:rsid w:val="7F573F16"/>
    <w:rsid w:val="7F57817A"/>
    <w:rsid w:val="7F5AA200"/>
    <w:rsid w:val="7F7FC0EE"/>
    <w:rsid w:val="7FBB4436"/>
    <w:rsid w:val="7FBBBE70"/>
    <w:rsid w:val="7FDB4A1E"/>
    <w:rsid w:val="7FDE348B"/>
    <w:rsid w:val="7FFF004C"/>
    <w:rsid w:val="8352EC21"/>
    <w:rsid w:val="87B767F9"/>
    <w:rsid w:val="8B3F364D"/>
    <w:rsid w:val="96FF45D4"/>
    <w:rsid w:val="97371507"/>
    <w:rsid w:val="9E3F2536"/>
    <w:rsid w:val="9FDF8E7A"/>
    <w:rsid w:val="A2F9E0F6"/>
    <w:rsid w:val="A5BD96B4"/>
    <w:rsid w:val="A5FEB1C0"/>
    <w:rsid w:val="A6EC2BF9"/>
    <w:rsid w:val="A7D7627F"/>
    <w:rsid w:val="AAFD3CEB"/>
    <w:rsid w:val="ABB6B643"/>
    <w:rsid w:val="ABBFE91F"/>
    <w:rsid w:val="B6FBFF05"/>
    <w:rsid w:val="BD965241"/>
    <w:rsid w:val="BD9E4413"/>
    <w:rsid w:val="BDA23596"/>
    <w:rsid w:val="BDF7A17D"/>
    <w:rsid w:val="BEDE911D"/>
    <w:rsid w:val="BEFA4952"/>
    <w:rsid w:val="BFDC4052"/>
    <w:rsid w:val="BFF79E68"/>
    <w:rsid w:val="C77EC712"/>
    <w:rsid w:val="CBFF2CF7"/>
    <w:rsid w:val="D3C32268"/>
    <w:rsid w:val="D3EED75F"/>
    <w:rsid w:val="D5FE043C"/>
    <w:rsid w:val="D6D6BEC1"/>
    <w:rsid w:val="D76F408E"/>
    <w:rsid w:val="DBFFB598"/>
    <w:rsid w:val="DD1F7EEB"/>
    <w:rsid w:val="DD712322"/>
    <w:rsid w:val="DDFFC8A3"/>
    <w:rsid w:val="DECFDCCF"/>
    <w:rsid w:val="DFEB4504"/>
    <w:rsid w:val="E3BB30A3"/>
    <w:rsid w:val="E3BB9841"/>
    <w:rsid w:val="E72BB9F4"/>
    <w:rsid w:val="E7D73D7C"/>
    <w:rsid w:val="EAEA19F9"/>
    <w:rsid w:val="EAFE5A0A"/>
    <w:rsid w:val="EB5F28AC"/>
    <w:rsid w:val="EB756285"/>
    <w:rsid w:val="EBD64470"/>
    <w:rsid w:val="EDFB79F7"/>
    <w:rsid w:val="EE67F95D"/>
    <w:rsid w:val="EEFE7145"/>
    <w:rsid w:val="EF1E9EC7"/>
    <w:rsid w:val="EF3EEF83"/>
    <w:rsid w:val="EF3F1019"/>
    <w:rsid w:val="EF5F3578"/>
    <w:rsid w:val="EF7F06B7"/>
    <w:rsid w:val="EFBC7693"/>
    <w:rsid w:val="EFBF2B20"/>
    <w:rsid w:val="F3775D40"/>
    <w:rsid w:val="F39E9202"/>
    <w:rsid w:val="F3AEA929"/>
    <w:rsid w:val="F3BE63A9"/>
    <w:rsid w:val="F54FF44C"/>
    <w:rsid w:val="F77F2AA8"/>
    <w:rsid w:val="F7AD3485"/>
    <w:rsid w:val="F7AE7EA4"/>
    <w:rsid w:val="F7E76EAC"/>
    <w:rsid w:val="F7FF16FA"/>
    <w:rsid w:val="F7FFCF84"/>
    <w:rsid w:val="F8FF4F49"/>
    <w:rsid w:val="F9971874"/>
    <w:rsid w:val="FA6F03FE"/>
    <w:rsid w:val="FBCB4DAE"/>
    <w:rsid w:val="FBEDAD3E"/>
    <w:rsid w:val="FBF3685F"/>
    <w:rsid w:val="FBF554CA"/>
    <w:rsid w:val="FBF7542C"/>
    <w:rsid w:val="FCFF8F13"/>
    <w:rsid w:val="FD153ED4"/>
    <w:rsid w:val="FDDFABF3"/>
    <w:rsid w:val="FDFF6201"/>
    <w:rsid w:val="FE6DFC72"/>
    <w:rsid w:val="FE769E76"/>
    <w:rsid w:val="FE7E4E0C"/>
    <w:rsid w:val="FEBDD456"/>
    <w:rsid w:val="FEE7E505"/>
    <w:rsid w:val="FF2E3774"/>
    <w:rsid w:val="FF3C93E4"/>
    <w:rsid w:val="FF599B7A"/>
    <w:rsid w:val="FF7E2427"/>
    <w:rsid w:val="FF7FB6C7"/>
    <w:rsid w:val="FFB72CF8"/>
    <w:rsid w:val="FFDB783C"/>
    <w:rsid w:val="FFDF1D1C"/>
    <w:rsid w:val="FFE72CFD"/>
    <w:rsid w:val="FFEF34D7"/>
    <w:rsid w:val="FFEFE218"/>
    <w:rsid w:val="FFF24BA3"/>
    <w:rsid w:val="FFF7D8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B3C538"/>
  <w15:chartTrackingRefBased/>
  <w15:docId w15:val="{99D51F84-6BEE-4802-BB55-5543F5BAE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semiHidden/>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pPr>
      <w:spacing w:before="100" w:beforeAutospacing="1" w:after="100" w:afterAutospacing="1"/>
      <w:jc w:val="left"/>
    </w:pPr>
    <w:rPr>
      <w:kern w:val="0"/>
      <w:sz w:val="24"/>
    </w:rPr>
  </w:style>
  <w:style w:type="character" w:styleId="a3">
    <w:name w:val="Strong"/>
    <w:basedOn w:val="a0"/>
    <w:qFormat/>
    <w:rPr>
      <w:b/>
    </w:rPr>
  </w:style>
  <w:style w:type="paragraph" w:styleId="a4">
    <w:name w:val="header"/>
    <w:basedOn w:val="a"/>
    <w:link w:val="a5"/>
    <w:rsid w:val="008C42F4"/>
    <w:pPr>
      <w:tabs>
        <w:tab w:val="center" w:pos="4153"/>
        <w:tab w:val="right" w:pos="8306"/>
      </w:tabs>
      <w:snapToGrid w:val="0"/>
      <w:jc w:val="center"/>
    </w:pPr>
    <w:rPr>
      <w:sz w:val="18"/>
      <w:szCs w:val="18"/>
    </w:rPr>
  </w:style>
  <w:style w:type="character" w:customStyle="1" w:styleId="a5">
    <w:name w:val="頁首 字元"/>
    <w:basedOn w:val="a0"/>
    <w:link w:val="a4"/>
    <w:rsid w:val="008C42F4"/>
    <w:rPr>
      <w:rFonts w:ascii="Calibri" w:hAnsi="Calibri"/>
      <w:kern w:val="2"/>
      <w:sz w:val="18"/>
      <w:szCs w:val="18"/>
    </w:rPr>
  </w:style>
  <w:style w:type="paragraph" w:styleId="a6">
    <w:name w:val="footer"/>
    <w:basedOn w:val="a"/>
    <w:link w:val="a7"/>
    <w:rsid w:val="008C42F4"/>
    <w:pPr>
      <w:tabs>
        <w:tab w:val="center" w:pos="4153"/>
        <w:tab w:val="right" w:pos="8306"/>
      </w:tabs>
      <w:snapToGrid w:val="0"/>
      <w:jc w:val="left"/>
    </w:pPr>
    <w:rPr>
      <w:sz w:val="18"/>
      <w:szCs w:val="18"/>
    </w:rPr>
  </w:style>
  <w:style w:type="character" w:customStyle="1" w:styleId="a7">
    <w:name w:val="頁尾 字元"/>
    <w:basedOn w:val="a0"/>
    <w:link w:val="a6"/>
    <w:rsid w:val="008C42F4"/>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2902</Words>
  <Characters>2971</Characters>
  <Application>Microsoft Office Word</Application>
  <DocSecurity>0</DocSecurity>
  <Lines>130</Lines>
  <Paragraphs>49</Paragraphs>
  <ScaleCrop>false</ScaleCrop>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工业视觉产研事业部</cp:lastModifiedBy>
  <cp:revision>2</cp:revision>
  <dcterms:created xsi:type="dcterms:W3CDTF">2026-09-10T05:37:00Z</dcterms:created>
  <dcterms:modified xsi:type="dcterms:W3CDTF">2026-09-10T05:37:00Z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8746F761D0C048978EA00C455F6FF79B_12</vt:lpwstr>
  </property>
</Properties>
</file>