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E5019" w14:textId="77777777" w:rsidR="00555424" w:rsidRDefault="00555424">
      <w:pPr>
        <w:jc w:val="center"/>
        <w:rPr>
          <w:b/>
          <w:bCs/>
          <w:sz w:val="28"/>
          <w:szCs w:val="36"/>
        </w:rPr>
      </w:pPr>
      <w:r>
        <w:rPr>
          <w:rFonts w:hint="eastAsia"/>
          <w:b/>
          <w:bCs/>
          <w:sz w:val="28"/>
          <w:szCs w:val="36"/>
        </w:rPr>
        <w:t>聚玻大课堂</w:t>
      </w:r>
      <w:r>
        <w:rPr>
          <w:rFonts w:hint="eastAsia"/>
          <w:b/>
          <w:bCs/>
          <w:sz w:val="28"/>
          <w:szCs w:val="36"/>
        </w:rPr>
        <w:t>|</w:t>
      </w:r>
      <w:r>
        <w:rPr>
          <w:rFonts w:hint="eastAsia"/>
          <w:b/>
          <w:bCs/>
          <w:sz w:val="28"/>
          <w:szCs w:val="36"/>
        </w:rPr>
        <w:t>《玻璃期货系列（一）</w:t>
      </w:r>
      <w:r>
        <w:rPr>
          <w:rFonts w:hint="eastAsia"/>
          <w:b/>
          <w:bCs/>
          <w:sz w:val="28"/>
          <w:szCs w:val="36"/>
        </w:rPr>
        <w:t>--</w:t>
      </w:r>
      <w:r>
        <w:rPr>
          <w:rFonts w:hint="eastAsia"/>
          <w:b/>
          <w:bCs/>
          <w:sz w:val="28"/>
          <w:szCs w:val="36"/>
        </w:rPr>
        <w:t>什么是玻璃期货？》</w:t>
      </w:r>
    </w:p>
    <w:p w14:paraId="79538AF2" w14:textId="77777777" w:rsidR="00555424" w:rsidRDefault="00555424"/>
    <w:p w14:paraId="15066B24" w14:textId="77777777" w:rsidR="00555424" w:rsidRDefault="00555424">
      <w:r>
        <w:t>玻璃期货是一种金融衍生品，它基于玻璃实物，并以标准化合约的形式存在。投资者可以通过购买或卖出这些合约，约定在未来某个特定日期以交割价格买入或卖出一定数量的玻璃。</w:t>
      </w:r>
    </w:p>
    <w:p w14:paraId="3248F60E" w14:textId="77777777" w:rsidR="00555424" w:rsidRDefault="00555424"/>
    <w:p w14:paraId="341456D8" w14:textId="77777777" w:rsidR="00555424" w:rsidRDefault="00555424">
      <w:r>
        <w:rPr>
          <w:b/>
          <w:bCs/>
        </w:rPr>
        <w:t>一、</w:t>
      </w:r>
      <w:r>
        <w:rPr>
          <w:rFonts w:hint="eastAsia"/>
          <w:b/>
          <w:bCs/>
        </w:rPr>
        <w:t>玻璃期货的特点与作用</w:t>
      </w:r>
    </w:p>
    <w:p w14:paraId="0B547B8E" w14:textId="77777777" w:rsidR="00555424" w:rsidRDefault="00555424"/>
    <w:p w14:paraId="4314BD52" w14:textId="77777777" w:rsidR="00555424" w:rsidRDefault="00555424">
      <w:r>
        <w:t>对于玻璃</w:t>
      </w:r>
      <w:r>
        <w:t>生产商、贸易商和下游用户（如建筑、汽车等行业）</w:t>
      </w:r>
      <w:r>
        <w:t>来说，玻璃期货是一种</w:t>
      </w:r>
      <w:r>
        <w:t>风险管理工具</w:t>
      </w:r>
      <w:r>
        <w:t>，</w:t>
      </w:r>
      <w:r>
        <w:t>可以利用期货市场进行套期保值，锁定未来价格，从而规避因市场价格波动带来的风险。同时，投机者也可以通过预测市场走势，买卖期货合约来获取价差收益。</w:t>
      </w:r>
    </w:p>
    <w:p w14:paraId="0DAFB840" w14:textId="77777777" w:rsidR="00555424" w:rsidRDefault="00555424"/>
    <w:p w14:paraId="293C3157" w14:textId="77777777" w:rsidR="00555424" w:rsidRDefault="00555424">
      <w:r>
        <w:t>玻璃期货作为期货市场中的一员，具备商品期货的普遍特点</w:t>
      </w:r>
      <w:r>
        <w:rPr>
          <w:rFonts w:hint="eastAsia"/>
        </w:rPr>
        <w:t>，如：</w:t>
      </w:r>
    </w:p>
    <w:p w14:paraId="053D9207" w14:textId="77777777" w:rsidR="00555424" w:rsidRDefault="00555424">
      <w:pPr>
        <w:rPr>
          <w:rFonts w:hint="eastAsia"/>
        </w:rPr>
      </w:pPr>
      <w:r>
        <w:t>1</w:t>
      </w:r>
      <w:r>
        <w:t>、</w:t>
      </w:r>
      <w:r>
        <w:rPr>
          <w:rFonts w:hint="eastAsia"/>
        </w:rPr>
        <w:t>标准化合约：期货合约具有标准化的特点，包括交割月份、合约单位、</w:t>
      </w:r>
      <w:r>
        <w:t>交割品规格、</w:t>
      </w:r>
      <w:r>
        <w:rPr>
          <w:rFonts w:hint="eastAsia"/>
        </w:rPr>
        <w:t>交割地点等要素都是统一的，便于交易和结算。</w:t>
      </w:r>
    </w:p>
    <w:p w14:paraId="2617CB98" w14:textId="77777777" w:rsidR="00555424" w:rsidRDefault="00555424">
      <w:pPr>
        <w:rPr>
          <w:rFonts w:hint="eastAsia"/>
        </w:rPr>
      </w:pPr>
      <w:r>
        <w:t>2</w:t>
      </w:r>
      <w:r>
        <w:t>、</w:t>
      </w:r>
      <w:r>
        <w:rPr>
          <w:rFonts w:hint="eastAsia"/>
        </w:rPr>
        <w:t>保证金制度：期货交易采用保证金制度，投资者只需缴纳一定比例的保证金即可参与交易，这提高了资金的使用效率，但同时也放大了投资的</w:t>
      </w:r>
      <w:r>
        <w:t>收益与</w:t>
      </w:r>
      <w:r>
        <w:rPr>
          <w:rFonts w:hint="eastAsia"/>
        </w:rPr>
        <w:t>风险。</w:t>
      </w:r>
    </w:p>
    <w:p w14:paraId="79EA50C5" w14:textId="77777777" w:rsidR="00555424" w:rsidRDefault="00555424">
      <w:r>
        <w:t>3</w:t>
      </w:r>
      <w:r>
        <w:t>、</w:t>
      </w:r>
      <w:r>
        <w:rPr>
          <w:rFonts w:hint="eastAsia"/>
        </w:rPr>
        <w:t>可以双向交易：投资者既可以买入期货合约（即做多），也可以卖出期货合约（即做空），这为投资者提供了更多的交易机会和策略选择。</w:t>
      </w:r>
    </w:p>
    <w:p w14:paraId="2D298B81" w14:textId="77777777" w:rsidR="00555424" w:rsidRDefault="00555424">
      <w:r>
        <w:t>4</w:t>
      </w:r>
      <w:r>
        <w:t>、</w:t>
      </w:r>
      <w:r>
        <w:t>时间制约：期货合约有明确的到期日，投资者必须在到期日之前平仓或进行实物交割</w:t>
      </w:r>
      <w:r>
        <w:rPr>
          <w:rFonts w:hint="eastAsia"/>
        </w:rPr>
        <w:t>，</w:t>
      </w:r>
      <w:r>
        <w:t>投资者需</w:t>
      </w:r>
      <w:r>
        <w:t>要合理规划交易时间</w:t>
      </w:r>
    </w:p>
    <w:p w14:paraId="2DD9AA1B" w14:textId="77777777" w:rsidR="00555424" w:rsidRDefault="00555424"/>
    <w:p w14:paraId="125FAA46" w14:textId="77777777" w:rsidR="00555424" w:rsidRDefault="00555424">
      <w:r>
        <w:rPr>
          <w:rFonts w:hint="eastAsia"/>
        </w:rPr>
        <w:t>除此之外，玻璃期货也有其独特的优势与功能：</w:t>
      </w:r>
    </w:p>
    <w:p w14:paraId="7B13F872" w14:textId="77777777" w:rsidR="00555424" w:rsidRDefault="00555424">
      <w:pPr>
        <w:rPr>
          <w:rFonts w:hint="eastAsia"/>
        </w:rPr>
      </w:pPr>
      <w:r>
        <w:rPr>
          <w:rFonts w:hint="eastAsia"/>
        </w:rPr>
        <w:t>玻璃期货实行</w:t>
      </w:r>
      <w:r>
        <w:rPr>
          <w:rFonts w:hint="eastAsia"/>
          <w:b/>
          <w:bCs/>
        </w:rPr>
        <w:t>T+0</w:t>
      </w:r>
      <w:r>
        <w:rPr>
          <w:rFonts w:hint="eastAsia"/>
          <w:b/>
          <w:bCs/>
        </w:rPr>
        <w:t>交易制度</w:t>
      </w:r>
      <w:r>
        <w:rPr>
          <w:rFonts w:hint="eastAsia"/>
        </w:rPr>
        <w:t>，即投资者可以在当天买入并卖出期货合约，也可以进行多次买卖操作，增加了市场的流动性和灵活性。</w:t>
      </w:r>
    </w:p>
    <w:p w14:paraId="482F3662" w14:textId="77777777" w:rsidR="00555424" w:rsidRDefault="00555424">
      <w:pPr>
        <w:rPr>
          <w:rFonts w:hint="eastAsia"/>
        </w:rPr>
      </w:pPr>
    </w:p>
    <w:p w14:paraId="564628F0" w14:textId="77777777" w:rsidR="00555424" w:rsidRDefault="00555424">
      <w:r>
        <w:t>同时，由于其特定的原料、生产、消费属性，</w:t>
      </w:r>
      <w:r>
        <w:rPr>
          <w:rFonts w:hint="eastAsia"/>
        </w:rPr>
        <w:t>玻璃期货也具有明显的</w:t>
      </w:r>
      <w:r>
        <w:rPr>
          <w:b/>
          <w:bCs/>
        </w:rPr>
        <w:t>周期性特点</w:t>
      </w:r>
      <w:r>
        <w:rPr>
          <w:rFonts w:hint="eastAsia"/>
        </w:rPr>
        <w:t>。</w:t>
      </w:r>
    </w:p>
    <w:p w14:paraId="5C9D6922" w14:textId="77777777" w:rsidR="00555424" w:rsidRDefault="00555424">
      <w:pPr>
        <w:widowControl/>
        <w:spacing w:line="26" w:lineRule="atLeast"/>
        <w:jc w:val="left"/>
        <w:rPr>
          <w:rFonts w:hint="eastAsia"/>
        </w:rPr>
      </w:pPr>
      <w:r>
        <w:t>玻璃期货的价格受到多种因素的影响，其中最为显著的是供需关系。由于玻璃的生产周期相对固定，一般为</w:t>
      </w:r>
      <w:r>
        <w:t>1-2</w:t>
      </w:r>
      <w:r>
        <w:t>个月，这使得玻璃期货的价格具有一定的周期性。当市场需求增加时，短期内玻璃生产企业无法迅速扩大生产规模，导致市场供应紧张，期货价格上升。反之，当市场需求减少时，生产商可能会</w:t>
      </w:r>
      <w:r>
        <w:t>累加库存</w:t>
      </w:r>
      <w:r>
        <w:t>，从而导致期货价格下跌。</w:t>
      </w:r>
      <w:r>
        <w:rPr>
          <w:rFonts w:hint="eastAsia"/>
        </w:rPr>
        <w:t>此外，季节性因素影响玻璃需求量，也对玻璃期货价格产生影响。</w:t>
      </w:r>
    </w:p>
    <w:p w14:paraId="1DD7376A" w14:textId="77777777" w:rsidR="00555424" w:rsidRDefault="00555424">
      <w:pPr>
        <w:widowControl/>
        <w:spacing w:line="26" w:lineRule="atLeast"/>
        <w:jc w:val="left"/>
        <w:rPr>
          <w:rFonts w:hint="eastAsia"/>
        </w:rPr>
      </w:pPr>
    </w:p>
    <w:p w14:paraId="64758CDC" w14:textId="77777777" w:rsidR="00555424" w:rsidRDefault="00555424">
      <w:pPr>
        <w:widowControl/>
        <w:spacing w:line="26" w:lineRule="atLeast"/>
        <w:jc w:val="left"/>
      </w:pPr>
      <w:r>
        <w:rPr>
          <w:rFonts w:hint="eastAsia"/>
        </w:rPr>
        <w:t>但也因此，期货市场具有</w:t>
      </w:r>
      <w:r>
        <w:rPr>
          <w:rFonts w:hint="eastAsia"/>
          <w:b/>
          <w:bCs/>
        </w:rPr>
        <w:t>价格发现的功能</w:t>
      </w:r>
      <w:r>
        <w:rPr>
          <w:rFonts w:hint="eastAsia"/>
        </w:rPr>
        <w:t>，通过其特有的交易机制，能够预期并反映未来现货价格的变动趋势，形成具有真实性、预期性、连续性和权威性的期货价格</w:t>
      </w:r>
      <w:r>
        <w:t>。</w:t>
      </w:r>
      <w:r>
        <w:rPr>
          <w:rFonts w:hint="eastAsia"/>
        </w:rPr>
        <w:t>这一价格反映了市场对未来玻璃供需状况的预期，为玻璃生产企业提供了重要的价格参考，有助于企业更准确地把握市场动态，制定生产和销售计划。</w:t>
      </w:r>
    </w:p>
    <w:p w14:paraId="0CA9CC56" w14:textId="77777777" w:rsidR="00555424" w:rsidRDefault="00555424">
      <w:pPr>
        <w:rPr>
          <w:rFonts w:hint="eastAsia"/>
        </w:rPr>
      </w:pPr>
    </w:p>
    <w:p w14:paraId="6910AEBF" w14:textId="77777777" w:rsidR="00555424" w:rsidRDefault="00555424">
      <w:pPr>
        <w:rPr>
          <w:rFonts w:hint="eastAsia"/>
        </w:rPr>
      </w:pPr>
      <w:r>
        <w:rPr>
          <w:rFonts w:hint="eastAsia"/>
        </w:rPr>
        <w:t>玻璃期货是我国首个采取完全厂库交割的期货品种，于</w:t>
      </w:r>
      <w:r>
        <w:rPr>
          <w:rFonts w:hint="eastAsia"/>
        </w:rPr>
        <w:t>2012</w:t>
      </w:r>
      <w:r>
        <w:rPr>
          <w:rFonts w:hint="eastAsia"/>
        </w:rPr>
        <w:t>年在郑州商品交易所正式挂牌上市。通过玻璃期货，企业能够感知</w:t>
      </w:r>
      <w:r>
        <w:rPr>
          <w:rFonts w:hint="eastAsia"/>
        </w:rPr>
        <w:t>近月合约、远月合约的价格变化，利用期货价格的变化指导生产经营，对现货的营销策略，包括对上游原料的采购模式，都带来了一个质的提升。使企业能够更加从容地应对市场波动。为相关企业提供有力的金融支持的同时，也有助于产业结构调整和平板玻璃行业发展。</w:t>
      </w:r>
    </w:p>
    <w:p w14:paraId="400CB55F" w14:textId="77777777" w:rsidR="00555424" w:rsidRDefault="00555424">
      <w:pPr>
        <w:rPr>
          <w:rFonts w:hint="eastAsia"/>
        </w:rPr>
      </w:pPr>
    </w:p>
    <w:p w14:paraId="4296CB23" w14:textId="77777777" w:rsidR="00555424" w:rsidRDefault="00555424">
      <w:pPr>
        <w:rPr>
          <w:rFonts w:hint="eastAsia"/>
        </w:rPr>
      </w:pPr>
    </w:p>
    <w:p w14:paraId="2DFBDE73" w14:textId="77777777" w:rsidR="00555424" w:rsidRDefault="00555424">
      <w:pPr>
        <w:rPr>
          <w:b/>
          <w:bCs/>
        </w:rPr>
      </w:pPr>
      <w:r>
        <w:rPr>
          <w:rFonts w:hint="eastAsia"/>
          <w:b/>
          <w:bCs/>
        </w:rPr>
        <w:t>二、玻璃期货的走势图和常见术语</w:t>
      </w:r>
    </w:p>
    <w:p w14:paraId="3291A85C" w14:textId="77777777" w:rsidR="00555424" w:rsidRDefault="00555424"/>
    <w:p w14:paraId="18F4AF4F" w14:textId="77777777" w:rsidR="00555424" w:rsidRDefault="00555424">
      <w:pPr>
        <w:widowControl/>
        <w:spacing w:line="26" w:lineRule="atLeast"/>
        <w:jc w:val="left"/>
      </w:pPr>
      <w:r>
        <w:rPr>
          <w:rFonts w:hint="eastAsia"/>
        </w:rPr>
        <w:t>在了解玻璃期货前，我们应掌握它的基本知识，如期货走势图、常见术语的含义等，</w:t>
      </w:r>
      <w:r>
        <w:t>有助于提升投资决策的准确性</w:t>
      </w:r>
      <w:r>
        <w:rPr>
          <w:rFonts w:hint="eastAsia"/>
        </w:rPr>
        <w:t>、交易效率，</w:t>
      </w:r>
      <w:r>
        <w:t>增强投资者的专业素养和适应能力。</w:t>
      </w:r>
    </w:p>
    <w:p w14:paraId="7DF63406" w14:textId="77777777" w:rsidR="00555424" w:rsidRDefault="00555424">
      <w:pPr>
        <w:rPr>
          <w:rFonts w:hint="eastAsia"/>
        </w:rPr>
      </w:pPr>
    </w:p>
    <w:p w14:paraId="6936D193" w14:textId="77777777" w:rsidR="00555424" w:rsidRDefault="00555424">
      <w:r>
        <w:rPr>
          <w:rFonts w:hint="eastAsia"/>
        </w:rPr>
        <w:t>为了能够满足不同投资者和分析师的需求，期货市场应运而生了多种走势图类型，每种类型都有其独特的展示方式和应用场景。其中</w:t>
      </w:r>
      <w:r>
        <w:t>常见的</w:t>
      </w:r>
      <w:r>
        <w:rPr>
          <w:rFonts w:hint="eastAsia"/>
        </w:rPr>
        <w:t>包括有蜡烛图、线形图。</w:t>
      </w:r>
    </w:p>
    <w:p w14:paraId="7712D6EE" w14:textId="77777777" w:rsidR="00555424" w:rsidRDefault="00555424">
      <w:pPr>
        <w:rPr>
          <w:rFonts w:hint="eastAsia"/>
        </w:rPr>
      </w:pPr>
      <w:r>
        <w:rPr>
          <w:rFonts w:hint="eastAsia"/>
        </w:rPr>
        <w:t>1</w:t>
      </w:r>
      <w:r>
        <w:t>、</w:t>
      </w:r>
      <w:r>
        <w:rPr>
          <w:rFonts w:hint="eastAsia"/>
        </w:rPr>
        <w:t>蜡烛图</w:t>
      </w:r>
      <w:r>
        <w:t>（</w:t>
      </w:r>
      <w:r>
        <w:t>k</w:t>
      </w:r>
      <w:r>
        <w:t>线图）</w:t>
      </w:r>
      <w:r>
        <w:rPr>
          <w:rFonts w:hint="eastAsia"/>
        </w:rPr>
        <w:t>：蜡烛图是最常见的期货走势图，通过实体和影线展示期货价格的开盘价、收盘价、最高价和最低价。</w:t>
      </w:r>
    </w:p>
    <w:p w14:paraId="28CC6332" w14:textId="77777777" w:rsidR="00555424" w:rsidRDefault="00555424">
      <w:pPr>
        <w:rPr>
          <w:rFonts w:hint="eastAsia"/>
        </w:rPr>
      </w:pPr>
      <w:r>
        <w:rPr>
          <w:rFonts w:hint="eastAsia"/>
        </w:rPr>
        <w:t>2</w:t>
      </w:r>
      <w:r>
        <w:t>、</w:t>
      </w:r>
      <w:r>
        <w:rPr>
          <w:rFonts w:hint="eastAsia"/>
        </w:rPr>
        <w:t>线形图：线形图以折线连接各个时间点的收盘价，形象地展示了期货价格随时间的变化趋势。</w:t>
      </w:r>
    </w:p>
    <w:p w14:paraId="44063D05" w14:textId="77777777" w:rsidR="00555424" w:rsidRDefault="00555424">
      <w:pPr>
        <w:rPr>
          <w:rFonts w:hint="eastAsia"/>
        </w:rPr>
      </w:pPr>
    </w:p>
    <w:p w14:paraId="3E5FCA13" w14:textId="77777777" w:rsidR="00555424" w:rsidRDefault="00555424">
      <w:pPr>
        <w:rPr>
          <w:rFonts w:hint="eastAsia"/>
        </w:rPr>
      </w:pPr>
      <w:r>
        <w:rPr>
          <w:rFonts w:hint="eastAsia"/>
        </w:rPr>
        <w:t>目前，期货交易已经成为全球金融市场中重要的交易方式之一，包括大宗商品、金融资产和其他标的资产。期间，也衍生了许多术语：</w:t>
      </w:r>
    </w:p>
    <w:p w14:paraId="7BD80BE6" w14:textId="77777777" w:rsidR="00555424" w:rsidRDefault="00555424">
      <w:pPr>
        <w:rPr>
          <w:rFonts w:hint="eastAsia"/>
        </w:rPr>
      </w:pPr>
    </w:p>
    <w:p w14:paraId="2A4D5DF5" w14:textId="77777777" w:rsidR="00555424" w:rsidRDefault="00555424">
      <w:pPr>
        <w:rPr>
          <w:rFonts w:hint="eastAsia"/>
        </w:rPr>
      </w:pPr>
      <w:r>
        <w:rPr>
          <w:rFonts w:hint="eastAsia"/>
        </w:rPr>
        <w:t>上涨：指价格走势不断上行的过程，包括反弹</w:t>
      </w:r>
    </w:p>
    <w:p w14:paraId="751A4CF4" w14:textId="77777777" w:rsidR="00555424" w:rsidRDefault="00555424">
      <w:pPr>
        <w:rPr>
          <w:rFonts w:hint="eastAsia"/>
        </w:rPr>
      </w:pPr>
      <w:r>
        <w:rPr>
          <w:rFonts w:hint="eastAsia"/>
        </w:rPr>
        <w:t>下跌：指价格走势不断下行的过程，包括回调</w:t>
      </w:r>
    </w:p>
    <w:p w14:paraId="0D071B63" w14:textId="77777777" w:rsidR="00555424" w:rsidRDefault="00555424">
      <w:r>
        <w:rPr>
          <w:rFonts w:hint="eastAsia"/>
        </w:rPr>
        <w:t>涨跌停：是当日价格涨跌触及到交易所规定的</w:t>
      </w:r>
      <w:r>
        <w:t>价格</w:t>
      </w:r>
      <w:r>
        <w:rPr>
          <w:rFonts w:hint="eastAsia"/>
        </w:rPr>
        <w:t>上下限</w:t>
      </w:r>
    </w:p>
    <w:p w14:paraId="64B26A6C" w14:textId="77777777" w:rsidR="00555424" w:rsidRDefault="00555424">
      <w:r>
        <w:t>升水：期货合约价格高于现货市场价格</w:t>
      </w:r>
    </w:p>
    <w:p w14:paraId="2BA999B0" w14:textId="77777777" w:rsidR="00555424" w:rsidRDefault="00555424">
      <w:r>
        <w:t>贴水：期货合约价格低于现货市场价格</w:t>
      </w:r>
    </w:p>
    <w:p w14:paraId="2479B05C" w14:textId="77777777" w:rsidR="00555424" w:rsidRDefault="00555424">
      <w:pPr>
        <w:rPr>
          <w:rFonts w:hint="eastAsia"/>
        </w:rPr>
      </w:pPr>
      <w:r>
        <w:t>基差</w:t>
      </w:r>
      <w:r>
        <w:rPr>
          <w:rFonts w:hint="eastAsia"/>
        </w:rPr>
        <w:t>：指</w:t>
      </w:r>
      <w:r>
        <w:t>相同标准下，现货价格与期货价格之间的差价，一般为现货价格减去期货价格。</w:t>
      </w:r>
    </w:p>
    <w:p w14:paraId="6B6F6E78" w14:textId="77777777" w:rsidR="00555424" w:rsidRDefault="00555424">
      <w:pPr>
        <w:rPr>
          <w:rFonts w:hint="eastAsia"/>
        </w:rPr>
      </w:pPr>
      <w:r>
        <w:rPr>
          <w:rFonts w:hint="eastAsia"/>
        </w:rPr>
        <w:t>牛市：形容单边不断上涨并持续较久的行情</w:t>
      </w:r>
    </w:p>
    <w:p w14:paraId="2CEDE283" w14:textId="77777777" w:rsidR="00555424" w:rsidRDefault="00555424">
      <w:pPr>
        <w:rPr>
          <w:rFonts w:hint="eastAsia"/>
        </w:rPr>
      </w:pPr>
      <w:r>
        <w:rPr>
          <w:rFonts w:hint="eastAsia"/>
        </w:rPr>
        <w:t>熊市：形容单边不断下跌并持续较久的行情</w:t>
      </w:r>
    </w:p>
    <w:p w14:paraId="3D178B3D" w14:textId="77777777" w:rsidR="00555424" w:rsidRDefault="00555424">
      <w:pPr>
        <w:rPr>
          <w:rFonts w:hint="eastAsia"/>
        </w:rPr>
      </w:pPr>
      <w:r>
        <w:rPr>
          <w:rFonts w:hint="eastAsia"/>
        </w:rPr>
        <w:t>猴市：形容长期上蹿下跳没有趋势的行情</w:t>
      </w:r>
    </w:p>
    <w:p w14:paraId="4B458039" w14:textId="77777777" w:rsidR="00555424" w:rsidRDefault="00555424">
      <w:pPr>
        <w:rPr>
          <w:rFonts w:hint="eastAsia"/>
        </w:rPr>
      </w:pPr>
      <w:r>
        <w:rPr>
          <w:rFonts w:hint="eastAsia"/>
        </w:rPr>
        <w:t>开仓：指在行情某一价位进行买卖建仓</w:t>
      </w:r>
    </w:p>
    <w:p w14:paraId="4454D51C" w14:textId="77777777" w:rsidR="00555424" w:rsidRDefault="00555424">
      <w:pPr>
        <w:rPr>
          <w:rFonts w:hint="eastAsia"/>
        </w:rPr>
      </w:pPr>
      <w:r>
        <w:rPr>
          <w:rFonts w:hint="eastAsia"/>
        </w:rPr>
        <w:t>多头：指预判行情上涨并买涨的投资者</w:t>
      </w:r>
    </w:p>
    <w:p w14:paraId="05807B2D" w14:textId="77777777" w:rsidR="00555424" w:rsidRDefault="00555424">
      <w:pPr>
        <w:rPr>
          <w:rFonts w:hint="eastAsia"/>
        </w:rPr>
      </w:pPr>
      <w:r>
        <w:rPr>
          <w:rFonts w:hint="eastAsia"/>
        </w:rPr>
        <w:t>空头：指预判行情下跌并卖空的投资者</w:t>
      </w:r>
    </w:p>
    <w:p w14:paraId="2D022552" w14:textId="77777777" w:rsidR="00555424" w:rsidRDefault="00555424">
      <w:pPr>
        <w:rPr>
          <w:rFonts w:hint="eastAsia"/>
        </w:rPr>
      </w:pPr>
      <w:r>
        <w:rPr>
          <w:rFonts w:hint="eastAsia"/>
        </w:rPr>
        <w:t>平仓：指平掉手上多空单的行为</w:t>
      </w:r>
    </w:p>
    <w:p w14:paraId="465E8891" w14:textId="77777777" w:rsidR="00555424" w:rsidRDefault="00555424">
      <w:pPr>
        <w:rPr>
          <w:rFonts w:hint="eastAsia"/>
        </w:rPr>
      </w:pPr>
    </w:p>
    <w:p w14:paraId="33A9EAFC" w14:textId="77777777" w:rsidR="00555424" w:rsidRDefault="00555424">
      <w:pPr>
        <w:rPr>
          <w:rFonts w:hint="eastAsia"/>
        </w:rPr>
      </w:pPr>
      <w:r>
        <w:rPr>
          <w:rFonts w:hint="eastAsia"/>
        </w:rPr>
        <w:t>合约：是交易所按标准对某一商品进行期货上市约定成为可供投资者买卖的标的。一般不同商品分为</w:t>
      </w:r>
      <w:r>
        <w:rPr>
          <w:rFonts w:hint="eastAsia"/>
        </w:rPr>
        <w:t>9</w:t>
      </w:r>
      <w:r>
        <w:rPr>
          <w:rFonts w:hint="eastAsia"/>
        </w:rPr>
        <w:t>或</w:t>
      </w:r>
      <w:r>
        <w:rPr>
          <w:rFonts w:hint="eastAsia"/>
        </w:rPr>
        <w:t>12</w:t>
      </w:r>
      <w:r>
        <w:rPr>
          <w:rFonts w:hint="eastAsia"/>
        </w:rPr>
        <w:t>个月份的对应合约。</w:t>
      </w:r>
    </w:p>
    <w:p w14:paraId="18A883E4" w14:textId="77777777" w:rsidR="00555424" w:rsidRDefault="00555424">
      <w:pPr>
        <w:rPr>
          <w:rFonts w:hint="eastAsia"/>
        </w:rPr>
      </w:pPr>
      <w:r>
        <w:rPr>
          <w:rFonts w:hint="eastAsia"/>
        </w:rPr>
        <w:t>其中主力合约是当前市场参与度最高与资金持仓量最大的月份合约，其流动性最佳；</w:t>
      </w:r>
    </w:p>
    <w:p w14:paraId="13D87A1A" w14:textId="77777777" w:rsidR="00555424" w:rsidRDefault="00555424">
      <w:pPr>
        <w:rPr>
          <w:rFonts w:hint="eastAsia"/>
        </w:rPr>
      </w:pPr>
      <w:r>
        <w:rPr>
          <w:rFonts w:hint="eastAsia"/>
        </w:rPr>
        <w:t>近月合约是</w:t>
      </w:r>
      <w:r>
        <w:t>更接近当前</w:t>
      </w:r>
      <w:r>
        <w:rPr>
          <w:rFonts w:hint="eastAsia"/>
        </w:rPr>
        <w:t>月份</w:t>
      </w:r>
      <w:r>
        <w:t>的</w:t>
      </w:r>
      <w:r>
        <w:rPr>
          <w:rFonts w:hint="eastAsia"/>
        </w:rPr>
        <w:t>合约，价格受现货市场影响大；</w:t>
      </w:r>
    </w:p>
    <w:p w14:paraId="72D0FABA" w14:textId="77777777" w:rsidR="00555424" w:rsidRDefault="00555424">
      <w:r>
        <w:rPr>
          <w:rFonts w:hint="eastAsia"/>
        </w:rPr>
        <w:t>远月合约是相比当前月份更远期的月份合约</w:t>
      </w:r>
      <w:r>
        <w:t>，</w:t>
      </w:r>
      <w:r>
        <w:rPr>
          <w:rFonts w:hint="eastAsia"/>
        </w:rPr>
        <w:t>价格包含更多市场预期，并有可能成为新的主力合约；三者之间</w:t>
      </w:r>
      <w:r>
        <w:t>会</w:t>
      </w:r>
      <w:r>
        <w:rPr>
          <w:rFonts w:hint="eastAsia"/>
        </w:rPr>
        <w:t>随市场情况变化而动态调整</w:t>
      </w:r>
      <w:r>
        <w:t>。</w:t>
      </w:r>
    </w:p>
    <w:p w14:paraId="562FB61E" w14:textId="77777777" w:rsidR="00555424" w:rsidRDefault="00555424"/>
    <w:p w14:paraId="7F6A832C" w14:textId="77777777" w:rsidR="00555424" w:rsidRDefault="00555424">
      <w:r>
        <w:rPr>
          <w:rFonts w:hint="eastAsia"/>
        </w:rPr>
        <w:t>合约移仓是主力合约到期日之前，投资者将持有的旧合约平仓，并同时或稍后开仓相同数量、相同方向</w:t>
      </w:r>
      <w:r>
        <w:t>，</w:t>
      </w:r>
      <w:r>
        <w:rPr>
          <w:rFonts w:hint="eastAsia"/>
        </w:rPr>
        <w:t>但交割月份不同的新合约</w:t>
      </w:r>
      <w:r>
        <w:t>，以避免交易所强平风险</w:t>
      </w:r>
      <w:r>
        <w:rPr>
          <w:color w:val="000000"/>
        </w:rPr>
        <w:t>，延续投资者所持有的合约数量或仓位，优化投资组合，以及保持市场连续性和活跃度。</w:t>
      </w:r>
    </w:p>
    <w:p w14:paraId="34372CDD" w14:textId="77777777" w:rsidR="00555424" w:rsidRDefault="00555424">
      <w:pPr>
        <w:rPr>
          <w:rFonts w:hint="eastAsia"/>
        </w:rPr>
      </w:pPr>
    </w:p>
    <w:p w14:paraId="43C0FA1E" w14:textId="77777777" w:rsidR="00555424" w:rsidRDefault="00555424">
      <w:pPr>
        <w:rPr>
          <w:rFonts w:hint="eastAsia"/>
        </w:rPr>
      </w:pPr>
      <w:r>
        <w:rPr>
          <w:rFonts w:hint="eastAsia"/>
        </w:rPr>
        <w:t>保证金：根据</w:t>
      </w:r>
      <w:r>
        <w:rPr>
          <w:rFonts w:hint="eastAsia"/>
        </w:rPr>
        <w:t>各品种、交易所、节假日时点、投资资金量不同，商品期货保证金</w:t>
      </w:r>
      <w:r>
        <w:t>会动态调整。</w:t>
      </w:r>
    </w:p>
    <w:p w14:paraId="5D4836F3" w14:textId="77777777" w:rsidR="00555424" w:rsidRDefault="00555424">
      <w:pPr>
        <w:rPr>
          <w:rFonts w:hint="eastAsia"/>
        </w:rPr>
      </w:pPr>
    </w:p>
    <w:p w14:paraId="3670F141" w14:textId="77777777" w:rsidR="00555424" w:rsidRDefault="00555424">
      <w:pPr>
        <w:rPr>
          <w:rFonts w:hint="eastAsia"/>
        </w:rPr>
      </w:pPr>
      <w:r>
        <w:rPr>
          <w:rFonts w:hint="eastAsia"/>
        </w:rPr>
        <w:t>玻璃期货有</w:t>
      </w:r>
      <w:r>
        <w:rPr>
          <w:rFonts w:hint="eastAsia"/>
        </w:rPr>
        <w:t>T+0</w:t>
      </w:r>
      <w:r>
        <w:rPr>
          <w:rFonts w:hint="eastAsia"/>
        </w:rPr>
        <w:t>交易和双向交易：</w:t>
      </w:r>
      <w:r>
        <w:rPr>
          <w:rFonts w:hint="eastAsia"/>
        </w:rPr>
        <w:t>T+0</w:t>
      </w:r>
      <w:r>
        <w:rPr>
          <w:rFonts w:hint="eastAsia"/>
        </w:rPr>
        <w:t>交易是指投资者可以在同一天内多次买入和卖出期货</w:t>
      </w:r>
      <w:r>
        <w:rPr>
          <w:rFonts w:hint="eastAsia"/>
        </w:rPr>
        <w:lastRenderedPageBreak/>
        <w:t>合约，没有交易次数的限制。双向交易中，期货投资者根据自身预判，可买涨与买跌两个方向进行交易，只要判断正确</w:t>
      </w:r>
      <w:r>
        <w:t>并获得差价就可</w:t>
      </w:r>
      <w:r>
        <w:rPr>
          <w:rFonts w:hint="eastAsia"/>
        </w:rPr>
        <w:t>平仓获利。</w:t>
      </w:r>
    </w:p>
    <w:p w14:paraId="25E41073" w14:textId="77777777" w:rsidR="00555424" w:rsidRDefault="00555424">
      <w:pPr>
        <w:rPr>
          <w:rFonts w:hint="eastAsia"/>
        </w:rPr>
      </w:pPr>
    </w:p>
    <w:p w14:paraId="3957CA58" w14:textId="77777777" w:rsidR="00555424" w:rsidRDefault="00555424">
      <w:pPr>
        <w:rPr>
          <w:rFonts w:hint="eastAsia"/>
        </w:rPr>
      </w:pPr>
    </w:p>
    <w:p w14:paraId="77FA5F24" w14:textId="77777777" w:rsidR="00555424" w:rsidRDefault="00555424">
      <w:r>
        <w:t>套期保值：指交易者在买进</w:t>
      </w:r>
      <w:r>
        <w:rPr>
          <w:rFonts w:hint="eastAsia"/>
        </w:rPr>
        <w:t>（</w:t>
      </w:r>
      <w:r>
        <w:t>或卖出</w:t>
      </w:r>
      <w:r>
        <w:rPr>
          <w:rFonts w:hint="eastAsia"/>
        </w:rPr>
        <w:t>）</w:t>
      </w:r>
      <w:r>
        <w:t>实际货物的同时，在期货市场卖出</w:t>
      </w:r>
      <w:r>
        <w:rPr>
          <w:rFonts w:hint="eastAsia"/>
        </w:rPr>
        <w:t>（</w:t>
      </w:r>
      <w:r>
        <w:t>或买入</w:t>
      </w:r>
      <w:r>
        <w:rPr>
          <w:rFonts w:hint="eastAsia"/>
        </w:rPr>
        <w:t>）</w:t>
      </w:r>
      <w:r>
        <w:t>同等数量的期货交易合约作为保值，避免或减少价格波动带来的损失。</w:t>
      </w:r>
    </w:p>
    <w:p w14:paraId="5B20EBBA" w14:textId="77777777" w:rsidR="00555424" w:rsidRDefault="00555424"/>
    <w:p w14:paraId="19001DF5" w14:textId="77777777" w:rsidR="00555424" w:rsidRDefault="00555424">
      <w:r>
        <w:t>期现套利：是指利用期货市场与现货市场之间的价格基差大小，通过同时在这两个市场上进行方向相反的交易，以期在价格回归或价差变动中获得利润的行为。</w:t>
      </w:r>
    </w:p>
    <w:p w14:paraId="3489FC3F" w14:textId="77777777" w:rsidR="00555424" w:rsidRDefault="00555424">
      <w:pPr>
        <w:widowControl/>
        <w:spacing w:line="26" w:lineRule="atLeast"/>
        <w:jc w:val="left"/>
      </w:pPr>
    </w:p>
    <w:p w14:paraId="2C9ED83A" w14:textId="77777777" w:rsidR="00555424" w:rsidRDefault="00555424">
      <w:r>
        <w:rPr>
          <w:rFonts w:hint="eastAsia"/>
        </w:rPr>
        <w:t>下一期大课堂将</w:t>
      </w:r>
      <w:r>
        <w:t>深入</w:t>
      </w:r>
      <w:r>
        <w:rPr>
          <w:rFonts w:hint="eastAsia"/>
        </w:rPr>
        <w:t>科普与</w:t>
      </w:r>
      <w:r>
        <w:t>玻璃期货交易</w:t>
      </w:r>
      <w:r>
        <w:rPr>
          <w:rFonts w:hint="eastAsia"/>
        </w:rPr>
        <w:t>相关的知识，敬请期待</w:t>
      </w:r>
      <w:r>
        <w:rPr>
          <w:rFonts w:hint="eastAsia"/>
        </w:rPr>
        <w:t>~</w:t>
      </w:r>
      <w:r>
        <w:rPr>
          <w:rFonts w:hint="eastAsia"/>
        </w:rPr>
        <w:t>想要了解更多玻璃知识，欢迎评论区留言！</w:t>
      </w:r>
    </w:p>
    <w:p w14:paraId="64D9ECA7" w14:textId="77777777" w:rsidR="00555424" w:rsidRDefault="00555424">
      <w:pPr>
        <w:widowControl/>
        <w:spacing w:line="26" w:lineRule="atLeast"/>
        <w:jc w:val="left"/>
      </w:pPr>
    </w:p>
    <w:p w14:paraId="1758BCBB" w14:textId="77777777" w:rsidR="00555424" w:rsidRDefault="00555424">
      <w:pPr>
        <w:widowControl/>
        <w:spacing w:line="26" w:lineRule="atLeast"/>
        <w:jc w:val="center"/>
        <w:rPr>
          <w:b/>
          <w:bCs/>
          <w:sz w:val="28"/>
          <w:szCs w:val="36"/>
        </w:rPr>
        <w:sectPr w:rsidR="00000000">
          <w:pgSz w:w="11906" w:h="16838"/>
          <w:pgMar w:top="1440" w:right="1800" w:bottom="1440" w:left="1800" w:header="851" w:footer="992" w:gutter="0"/>
          <w:cols w:space="720"/>
          <w:docGrid w:type="lines" w:linePitch="312"/>
        </w:sectPr>
      </w:pPr>
    </w:p>
    <w:p w14:paraId="424D014A" w14:textId="77777777" w:rsidR="00555424" w:rsidRDefault="00555424">
      <w:pPr>
        <w:widowControl/>
        <w:spacing w:line="26" w:lineRule="atLeast"/>
        <w:jc w:val="center"/>
        <w:rPr>
          <w:b/>
          <w:bCs/>
          <w:sz w:val="28"/>
          <w:szCs w:val="36"/>
        </w:rPr>
      </w:pPr>
      <w:r>
        <w:rPr>
          <w:b/>
          <w:bCs/>
          <w:sz w:val="28"/>
          <w:szCs w:val="36"/>
        </w:rPr>
        <w:lastRenderedPageBreak/>
        <w:t>聚玻大课堂</w:t>
      </w:r>
      <w:r>
        <w:rPr>
          <w:b/>
          <w:bCs/>
          <w:sz w:val="28"/>
          <w:szCs w:val="36"/>
        </w:rPr>
        <w:t>|</w:t>
      </w:r>
      <w:r>
        <w:rPr>
          <w:b/>
          <w:bCs/>
          <w:sz w:val="28"/>
          <w:szCs w:val="36"/>
        </w:rPr>
        <w:t>《玻璃期货系列（</w:t>
      </w:r>
      <w:r>
        <w:rPr>
          <w:rFonts w:hint="eastAsia"/>
          <w:b/>
          <w:bCs/>
          <w:sz w:val="28"/>
          <w:szCs w:val="36"/>
        </w:rPr>
        <w:t>二</w:t>
      </w:r>
      <w:r>
        <w:rPr>
          <w:b/>
          <w:bCs/>
          <w:sz w:val="28"/>
          <w:szCs w:val="36"/>
        </w:rPr>
        <w:t>）</w:t>
      </w:r>
      <w:r>
        <w:rPr>
          <w:b/>
          <w:bCs/>
          <w:sz w:val="28"/>
          <w:szCs w:val="36"/>
        </w:rPr>
        <w:t>--</w:t>
      </w:r>
      <w:r>
        <w:rPr>
          <w:rFonts w:hint="eastAsia"/>
          <w:b/>
          <w:bCs/>
          <w:sz w:val="28"/>
          <w:szCs w:val="36"/>
        </w:rPr>
        <w:t>如何进行</w:t>
      </w:r>
      <w:r>
        <w:rPr>
          <w:b/>
          <w:bCs/>
          <w:sz w:val="28"/>
          <w:szCs w:val="36"/>
        </w:rPr>
        <w:t>玻璃期货</w:t>
      </w:r>
      <w:r>
        <w:rPr>
          <w:rFonts w:hint="eastAsia"/>
          <w:b/>
          <w:bCs/>
          <w:sz w:val="28"/>
          <w:szCs w:val="36"/>
        </w:rPr>
        <w:t>交易</w:t>
      </w:r>
      <w:r>
        <w:rPr>
          <w:b/>
          <w:bCs/>
          <w:sz w:val="28"/>
          <w:szCs w:val="36"/>
        </w:rPr>
        <w:t>？》</w:t>
      </w:r>
    </w:p>
    <w:p w14:paraId="1F3745EE" w14:textId="77777777" w:rsidR="00555424" w:rsidRDefault="00555424">
      <w:pPr>
        <w:rPr>
          <w:rFonts w:hint="eastAsia"/>
        </w:rPr>
      </w:pPr>
    </w:p>
    <w:p w14:paraId="26829155" w14:textId="77777777" w:rsidR="00555424" w:rsidRDefault="00555424">
      <w:pPr>
        <w:rPr>
          <w:rFonts w:hint="eastAsia"/>
        </w:rPr>
      </w:pPr>
      <w:r>
        <w:rPr>
          <w:rFonts w:hint="eastAsia"/>
        </w:rPr>
        <w:t>在参与玻璃期货交易之前，了解其基本交易规则至关重要，它们能够帮助投资者更好地理解和适应市场运作机制，从而做出更合适的投资决策。</w:t>
      </w:r>
    </w:p>
    <w:p w14:paraId="7A0E237F" w14:textId="77777777" w:rsidR="00555424" w:rsidRDefault="00555424">
      <w:pPr>
        <w:widowControl/>
        <w:spacing w:line="26" w:lineRule="atLeast"/>
        <w:jc w:val="left"/>
      </w:pPr>
    </w:p>
    <w:p w14:paraId="0B74B321" w14:textId="77777777" w:rsidR="00555424" w:rsidRDefault="00555424">
      <w:pPr>
        <w:rPr>
          <w:rFonts w:hint="eastAsia"/>
          <w:b/>
          <w:bCs/>
        </w:rPr>
      </w:pPr>
      <w:r>
        <w:rPr>
          <w:rFonts w:hint="eastAsia"/>
          <w:b/>
          <w:bCs/>
        </w:rPr>
        <w:t>一、玻璃期货的基本规则</w:t>
      </w:r>
    </w:p>
    <w:p w14:paraId="1708B35C" w14:textId="77777777" w:rsidR="00555424" w:rsidRDefault="00555424">
      <w:pPr>
        <w:rPr>
          <w:rFonts w:hint="eastAsia"/>
        </w:rPr>
      </w:pPr>
    </w:p>
    <w:p w14:paraId="43D59701" w14:textId="77777777" w:rsidR="00555424" w:rsidRDefault="00555424">
      <w:pPr>
        <w:jc w:val="center"/>
        <w:rPr>
          <w:b/>
          <w:bCs/>
        </w:rPr>
      </w:pPr>
      <w:r>
        <w:rPr>
          <w:rFonts w:hint="eastAsia"/>
          <w:b/>
          <w:bCs/>
        </w:rPr>
        <w:t>合约交易</w:t>
      </w:r>
    </w:p>
    <w:p w14:paraId="740EDF3F" w14:textId="77777777" w:rsidR="00555424" w:rsidRDefault="00555424">
      <w:r>
        <w:t>交易代码为</w:t>
      </w:r>
      <w:r>
        <w:t>FG</w:t>
      </w:r>
      <w:r>
        <w:t>。</w:t>
      </w:r>
    </w:p>
    <w:p w14:paraId="79976493" w14:textId="77777777" w:rsidR="00555424" w:rsidRDefault="00555424">
      <w:pPr>
        <w:rPr>
          <w:rFonts w:hint="eastAsia"/>
        </w:rPr>
      </w:pPr>
    </w:p>
    <w:p w14:paraId="3FFA62CC" w14:textId="77777777" w:rsidR="00555424" w:rsidRDefault="00555424">
      <w:r>
        <w:t>最小变动价位为</w:t>
      </w:r>
      <w:r>
        <w:t>1</w:t>
      </w:r>
      <w:r>
        <w:t>元</w:t>
      </w:r>
      <w:r>
        <w:t>/</w:t>
      </w:r>
      <w:r>
        <w:t>吨。</w:t>
      </w:r>
    </w:p>
    <w:p w14:paraId="03AD0EA5" w14:textId="77777777" w:rsidR="00555424" w:rsidRDefault="00555424"/>
    <w:p w14:paraId="21177DF3" w14:textId="77777777" w:rsidR="00555424" w:rsidRDefault="00555424">
      <w:pPr>
        <w:rPr>
          <w:rFonts w:hint="eastAsia"/>
        </w:rPr>
      </w:pPr>
      <w:r>
        <w:rPr>
          <w:rFonts w:hint="eastAsia"/>
        </w:rPr>
        <w:t>每日涨跌停板幅度为前一交易日结算价的±</w:t>
      </w:r>
      <w:r>
        <w:rPr>
          <w:rFonts w:hint="eastAsia"/>
        </w:rPr>
        <w:t>4%</w:t>
      </w:r>
      <w:r>
        <w:rPr>
          <w:rFonts w:hint="eastAsia"/>
        </w:rPr>
        <w:t>。</w:t>
      </w:r>
    </w:p>
    <w:p w14:paraId="1D479AFC" w14:textId="77777777" w:rsidR="00555424" w:rsidRDefault="00555424"/>
    <w:p w14:paraId="5F1188DE" w14:textId="77777777" w:rsidR="00555424" w:rsidRDefault="00555424">
      <w:r>
        <w:t>交易单位为</w:t>
      </w:r>
      <w:r>
        <w:t>20</w:t>
      </w:r>
      <w:r>
        <w:t>吨</w:t>
      </w:r>
      <w:r>
        <w:t>/</w:t>
      </w:r>
      <w:r>
        <w:t>手</w:t>
      </w:r>
      <w:r>
        <w:rPr>
          <w:rFonts w:hint="eastAsia"/>
        </w:rPr>
        <w:t>，</w:t>
      </w:r>
      <w:r>
        <w:t>报价单位为元（人民币）</w:t>
      </w:r>
      <w:r>
        <w:t>/</w:t>
      </w:r>
      <w:r>
        <w:t>吨。</w:t>
      </w:r>
    </w:p>
    <w:p w14:paraId="3EBC85E3" w14:textId="77777777" w:rsidR="00555424" w:rsidRDefault="00555424"/>
    <w:p w14:paraId="61693C1D" w14:textId="77777777" w:rsidR="00555424" w:rsidRDefault="00555424">
      <w:r>
        <w:t>最后交易日为合约交割月份的第</w:t>
      </w:r>
      <w:r>
        <w:t>10</w:t>
      </w:r>
      <w:r>
        <w:t>个交易日。</w:t>
      </w:r>
    </w:p>
    <w:p w14:paraId="1D341EE5" w14:textId="77777777" w:rsidR="00555424" w:rsidRDefault="00555424"/>
    <w:p w14:paraId="7392026B" w14:textId="77777777" w:rsidR="00555424" w:rsidRDefault="00555424">
      <w:r>
        <w:t>交易指令每次最小下单量为</w:t>
      </w:r>
      <w:r>
        <w:t>1</w:t>
      </w:r>
      <w:r>
        <w:t>手，限价指令每次最大下单量为</w:t>
      </w:r>
      <w:r>
        <w:t>1000</w:t>
      </w:r>
      <w:r>
        <w:t>手，市价指令每次最大下单量为</w:t>
      </w:r>
      <w:r>
        <w:t>200</w:t>
      </w:r>
      <w:r>
        <w:t>手。</w:t>
      </w:r>
    </w:p>
    <w:p w14:paraId="4373AACC" w14:textId="77777777" w:rsidR="00555424" w:rsidRDefault="00555424"/>
    <w:p w14:paraId="476C2B8D" w14:textId="77777777" w:rsidR="00555424" w:rsidRDefault="00555424">
      <w:r>
        <w:t>交易时间分为夜盘交易时间和日盘交易时间。</w:t>
      </w:r>
    </w:p>
    <w:p w14:paraId="1BCF9917" w14:textId="77777777" w:rsidR="00555424" w:rsidRDefault="00555424">
      <w:r>
        <w:t>夜盘交易时间为每周一至周五（法定节假日除外）下午</w:t>
      </w:r>
      <w:r>
        <w:t>9:00-11</w:t>
      </w:r>
      <w:r>
        <w:t>：</w:t>
      </w:r>
      <w:r>
        <w:t>00</w:t>
      </w:r>
      <w:r>
        <w:t>。</w:t>
      </w:r>
    </w:p>
    <w:p w14:paraId="0630CB2B" w14:textId="77777777" w:rsidR="00555424" w:rsidRDefault="00555424">
      <w:r>
        <w:t>日盘交易时间为每周一至周五（法定节假日除外）上午</w:t>
      </w:r>
      <w:r>
        <w:t>9:00-11:30</w:t>
      </w:r>
      <w:r>
        <w:t>，下午</w:t>
      </w:r>
      <w:r>
        <w:t>1:30-3:00</w:t>
      </w:r>
      <w:r>
        <w:rPr>
          <w:rFonts w:hint="eastAsia"/>
        </w:rPr>
        <w:t>。</w:t>
      </w:r>
      <w:r>
        <w:t>其中，上午</w:t>
      </w:r>
      <w:r>
        <w:t>10:15-10:30</w:t>
      </w:r>
      <w:r>
        <w:t>为休息时间。</w:t>
      </w:r>
    </w:p>
    <w:p w14:paraId="18EEF2DC" w14:textId="77777777" w:rsidR="00555424" w:rsidRDefault="00555424"/>
    <w:p w14:paraId="21E7AB47" w14:textId="77777777" w:rsidR="00555424" w:rsidRDefault="00555424">
      <w:r>
        <w:rPr>
          <w:rFonts w:hint="eastAsia"/>
        </w:rPr>
        <w:t>保证金标准的变动</w:t>
      </w:r>
    </w:p>
    <w:p w14:paraId="4FA295F6" w14:textId="77777777" w:rsidR="00555424" w:rsidRDefault="00555424">
      <w:pPr>
        <w:rPr>
          <w:rFonts w:hint="eastAsia"/>
        </w:rPr>
      </w:pPr>
      <w:r>
        <w:rPr>
          <w:rFonts w:hint="eastAsia"/>
        </w:rPr>
        <w:t>第一期曾提到</w:t>
      </w:r>
      <w:r>
        <w:t>保证金制度，合约的交易保证金标准会根据不同的时间段和交易所的规定而有所变动</w:t>
      </w:r>
      <w:r>
        <w:rPr>
          <w:rFonts w:hint="eastAsia"/>
        </w:rPr>
        <w:t>，自挂牌至交割月前一个月第</w:t>
      </w:r>
      <w:r>
        <w:rPr>
          <w:rFonts w:hint="eastAsia"/>
        </w:rPr>
        <w:t>15</w:t>
      </w:r>
      <w:r>
        <w:rPr>
          <w:rFonts w:hint="eastAsia"/>
        </w:rPr>
        <w:t>个日历日期间的交易日，保证金比例为合约价值的</w:t>
      </w:r>
      <w:r>
        <w:rPr>
          <w:rFonts w:hint="eastAsia"/>
        </w:rPr>
        <w:t>5%</w:t>
      </w:r>
      <w:r>
        <w:rPr>
          <w:rFonts w:hint="eastAsia"/>
        </w:rPr>
        <w:t>。交割月前一个月第</w:t>
      </w:r>
      <w:r>
        <w:rPr>
          <w:rFonts w:hint="eastAsia"/>
        </w:rPr>
        <w:t>16</w:t>
      </w:r>
      <w:r>
        <w:rPr>
          <w:rFonts w:hint="eastAsia"/>
        </w:rPr>
        <w:t>个日历日至交割月前一个月最后一个日历日期间的交易日，保证金比例为合约价值的</w:t>
      </w:r>
      <w:r>
        <w:rPr>
          <w:rFonts w:hint="eastAsia"/>
        </w:rPr>
        <w:t>10%</w:t>
      </w:r>
      <w:r>
        <w:rPr>
          <w:rFonts w:hint="eastAsia"/>
        </w:rPr>
        <w:t>。交割月份，保证金比例为合约价值的</w:t>
      </w:r>
      <w:r>
        <w:rPr>
          <w:rFonts w:hint="eastAsia"/>
        </w:rPr>
        <w:t>20%</w:t>
      </w:r>
      <w:r>
        <w:rPr>
          <w:rFonts w:hint="eastAsia"/>
        </w:rPr>
        <w:t>。</w:t>
      </w:r>
    </w:p>
    <w:p w14:paraId="2B5FF009" w14:textId="77777777" w:rsidR="00555424" w:rsidRDefault="00555424">
      <w:pPr>
        <w:rPr>
          <w:rFonts w:hint="eastAsia"/>
        </w:rPr>
      </w:pPr>
      <w:r>
        <w:pict w14:anchorId="060163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style="width:415.5pt;height:88.5pt">
            <v:imagedata r:id="rId7" o:title="" croptop="3277f"/>
          </v:shape>
        </w:pict>
      </w:r>
    </w:p>
    <w:p w14:paraId="1A8851CD" w14:textId="77777777" w:rsidR="00555424" w:rsidRDefault="00555424"/>
    <w:p w14:paraId="7AB6F8B7" w14:textId="77777777" w:rsidR="00555424" w:rsidRDefault="00555424">
      <w:pPr>
        <w:jc w:val="center"/>
        <w:rPr>
          <w:b/>
          <w:bCs/>
        </w:rPr>
      </w:pPr>
      <w:r>
        <w:rPr>
          <w:rFonts w:hint="eastAsia"/>
          <w:b/>
          <w:bCs/>
        </w:rPr>
        <w:t>合约交割</w:t>
      </w:r>
    </w:p>
    <w:p w14:paraId="58707D1D" w14:textId="77777777" w:rsidR="00555424" w:rsidRDefault="00555424">
      <w:r>
        <w:rPr>
          <w:rFonts w:hint="eastAsia"/>
        </w:rPr>
        <w:t>最小</w:t>
      </w:r>
      <w:r>
        <w:t>交割单位为</w:t>
      </w:r>
      <w:r>
        <w:t>20</w:t>
      </w:r>
      <w:r>
        <w:t>吨。</w:t>
      </w:r>
    </w:p>
    <w:p w14:paraId="6E7CAC75" w14:textId="77777777" w:rsidR="00555424" w:rsidRDefault="00555424"/>
    <w:p w14:paraId="3FF0E610" w14:textId="77777777" w:rsidR="00555424" w:rsidRDefault="00555424">
      <w:r>
        <w:t>交割月份为</w:t>
      </w:r>
      <w:r>
        <w:t>1</w:t>
      </w:r>
      <w:r>
        <w:rPr>
          <w:rFonts w:hint="eastAsia"/>
        </w:rPr>
        <w:t>月</w:t>
      </w:r>
      <w:r>
        <w:t>至</w:t>
      </w:r>
      <w:r>
        <w:t>12</w:t>
      </w:r>
      <w:r>
        <w:t>月。</w:t>
      </w:r>
    </w:p>
    <w:p w14:paraId="17B6BA79" w14:textId="77777777" w:rsidR="00555424" w:rsidRDefault="00555424"/>
    <w:p w14:paraId="581C7272" w14:textId="77777777" w:rsidR="00555424" w:rsidRDefault="00555424">
      <w:pPr>
        <w:rPr>
          <w:rFonts w:hint="eastAsia"/>
        </w:rPr>
      </w:pPr>
      <w:r>
        <w:lastRenderedPageBreak/>
        <w:t>最后交割日为合约交割月份的第</w:t>
      </w:r>
      <w:r>
        <w:t>13</w:t>
      </w:r>
      <w:r>
        <w:t>个交易日</w:t>
      </w:r>
      <w:r>
        <w:rPr>
          <w:rFonts w:hint="eastAsia"/>
        </w:rPr>
        <w:t>。</w:t>
      </w:r>
    </w:p>
    <w:p w14:paraId="565F6BFC" w14:textId="77777777" w:rsidR="00555424" w:rsidRDefault="00555424"/>
    <w:p w14:paraId="25BE83F5" w14:textId="77777777" w:rsidR="00555424" w:rsidRDefault="00555424">
      <w:pPr>
        <w:rPr>
          <w:rFonts w:hint="eastAsia"/>
        </w:rPr>
      </w:pPr>
      <w:r>
        <w:t>交割方式</w:t>
      </w:r>
      <w:r>
        <w:rPr>
          <w:rFonts w:hint="eastAsia"/>
        </w:rPr>
        <w:t>：</w:t>
      </w:r>
      <w:r>
        <w:t>主要有集中交割</w:t>
      </w:r>
      <w:r>
        <w:rPr>
          <w:rFonts w:hint="eastAsia"/>
        </w:rPr>
        <w:t>和</w:t>
      </w:r>
      <w:r>
        <w:t>滚动交割</w:t>
      </w:r>
      <w:r>
        <w:rPr>
          <w:rFonts w:hint="eastAsia"/>
        </w:rPr>
        <w:t>。</w:t>
      </w:r>
    </w:p>
    <w:p w14:paraId="18D90694" w14:textId="77777777" w:rsidR="00555424" w:rsidRDefault="00555424">
      <w:r>
        <w:t>集中交割的交割日通常为交割月的第十二个交易日</w:t>
      </w:r>
    </w:p>
    <w:p w14:paraId="58DE148F" w14:textId="77777777" w:rsidR="00555424" w:rsidRDefault="00555424">
      <w:r>
        <w:rPr>
          <w:rFonts w:hint="eastAsia"/>
        </w:rPr>
        <w:t>滚动交割的交割日范围较广，可以在交割月的</w:t>
      </w:r>
      <w:r>
        <w:rPr>
          <w:rFonts w:hint="eastAsia"/>
        </w:rPr>
        <w:t>1</w:t>
      </w:r>
      <w:r>
        <w:rPr>
          <w:rFonts w:hint="eastAsia"/>
        </w:rPr>
        <w:t>至</w:t>
      </w:r>
      <w:r>
        <w:rPr>
          <w:rFonts w:hint="eastAsia"/>
        </w:rPr>
        <w:t>9</w:t>
      </w:r>
      <w:r>
        <w:rPr>
          <w:rFonts w:hint="eastAsia"/>
        </w:rPr>
        <w:t>个交易日内</w:t>
      </w:r>
      <w:r>
        <w:rPr>
          <w:rFonts w:hint="eastAsia"/>
        </w:rPr>
        <w:t>进行。</w:t>
      </w:r>
    </w:p>
    <w:p w14:paraId="5AC7A603" w14:textId="77777777" w:rsidR="00555424" w:rsidRDefault="00555424">
      <w:pPr>
        <w:rPr>
          <w:rFonts w:hint="eastAsia"/>
        </w:rPr>
      </w:pPr>
    </w:p>
    <w:p w14:paraId="3838A8CB" w14:textId="77777777" w:rsidR="00555424" w:rsidRDefault="00555424">
      <w:pPr>
        <w:rPr>
          <w:rFonts w:hint="eastAsia"/>
        </w:rPr>
      </w:pPr>
      <w:r>
        <w:rPr>
          <w:rFonts w:hint="eastAsia"/>
        </w:rPr>
        <w:t>限仓标准：</w:t>
      </w:r>
    </w:p>
    <w:p w14:paraId="70B03634" w14:textId="77777777" w:rsidR="00555424" w:rsidRDefault="00555424">
      <w:pPr>
        <w:rPr>
          <w:rFonts w:hint="eastAsia"/>
        </w:rPr>
      </w:pPr>
      <w:r>
        <w:rPr>
          <w:rFonts w:hint="eastAsia"/>
        </w:rPr>
        <w:t>在一般交易月份，当单边持仓量小于</w:t>
      </w:r>
      <w:r>
        <w:rPr>
          <w:rFonts w:hint="eastAsia"/>
        </w:rPr>
        <w:t>20</w:t>
      </w:r>
      <w:r>
        <w:rPr>
          <w:rFonts w:hint="eastAsia"/>
        </w:rPr>
        <w:t>万手时，客户单边最大持仓量为</w:t>
      </w:r>
      <w:r>
        <w:rPr>
          <w:rFonts w:hint="eastAsia"/>
        </w:rPr>
        <w:t>2000</w:t>
      </w:r>
      <w:r>
        <w:rPr>
          <w:rFonts w:hint="eastAsia"/>
        </w:rPr>
        <w:t>手；单边持仓量大于等于</w:t>
      </w:r>
      <w:r>
        <w:rPr>
          <w:rFonts w:hint="eastAsia"/>
        </w:rPr>
        <w:t>20</w:t>
      </w:r>
      <w:r>
        <w:rPr>
          <w:rFonts w:hint="eastAsia"/>
        </w:rPr>
        <w:t>万手时，客户单边最大持仓量为单边持仓量的</w:t>
      </w:r>
      <w:r>
        <w:rPr>
          <w:rFonts w:hint="eastAsia"/>
        </w:rPr>
        <w:t>10%</w:t>
      </w:r>
      <w:r>
        <w:rPr>
          <w:rFonts w:hint="eastAsia"/>
        </w:rPr>
        <w:t>。</w:t>
      </w:r>
    </w:p>
    <w:p w14:paraId="331C6D84" w14:textId="77777777" w:rsidR="00555424" w:rsidRDefault="00555424">
      <w:pPr>
        <w:rPr>
          <w:rFonts w:hint="eastAsia"/>
        </w:rPr>
      </w:pPr>
      <w:r>
        <w:rPr>
          <w:rFonts w:hint="eastAsia"/>
        </w:rPr>
        <w:t>在交割月份前一个月下半旬，自交割月前一个月第</w:t>
      </w:r>
      <w:r>
        <w:rPr>
          <w:rFonts w:hint="eastAsia"/>
        </w:rPr>
        <w:t>16</w:t>
      </w:r>
      <w:r>
        <w:rPr>
          <w:rFonts w:hint="eastAsia"/>
        </w:rPr>
        <w:t>个日历日至最后一个日历日，客户单边最大持仓量为</w:t>
      </w:r>
      <w:r>
        <w:rPr>
          <w:rFonts w:hint="eastAsia"/>
        </w:rPr>
        <w:t>5000</w:t>
      </w:r>
      <w:r>
        <w:rPr>
          <w:rFonts w:hint="eastAsia"/>
        </w:rPr>
        <w:t>手。</w:t>
      </w:r>
    </w:p>
    <w:p w14:paraId="64A227E9" w14:textId="77777777" w:rsidR="00555424" w:rsidRDefault="00555424">
      <w:pPr>
        <w:rPr>
          <w:rFonts w:hint="eastAsia"/>
        </w:rPr>
      </w:pPr>
      <w:r>
        <w:rPr>
          <w:rFonts w:hint="eastAsia"/>
        </w:rPr>
        <w:t>进入交割月份后，客户单边最大持仓量调整为</w:t>
      </w:r>
      <w:r>
        <w:rPr>
          <w:rFonts w:hint="eastAsia"/>
        </w:rPr>
        <w:t>1000</w:t>
      </w:r>
      <w:r>
        <w:rPr>
          <w:rFonts w:hint="eastAsia"/>
        </w:rPr>
        <w:t>手。机构投资者和个人投资者在交割月份的持仓限额为</w:t>
      </w:r>
      <w:r>
        <w:rPr>
          <w:rFonts w:hint="eastAsia"/>
        </w:rPr>
        <w:t>0</w:t>
      </w:r>
      <w:r>
        <w:rPr>
          <w:rFonts w:hint="eastAsia"/>
        </w:rPr>
        <w:t>。</w:t>
      </w:r>
    </w:p>
    <w:p w14:paraId="3BE1F002" w14:textId="77777777" w:rsidR="00555424" w:rsidRDefault="00555424"/>
    <w:p w14:paraId="65C158D0" w14:textId="77777777" w:rsidR="00555424" w:rsidRDefault="00555424">
      <w:r>
        <w:t>基准交割品：符合《中华人民共和国国家标准平板玻璃》（</w:t>
      </w:r>
      <w:r>
        <w:t>GB11614-2009</w:t>
      </w:r>
      <w:r>
        <w:t>）的</w:t>
      </w:r>
      <w:r>
        <w:t>5mm</w:t>
      </w:r>
      <w:r>
        <w:t>无色透明平板玻璃（规格为</w:t>
      </w:r>
      <w:r>
        <w:t>3.66m×2.44m</w:t>
      </w:r>
      <w:r>
        <w:t>）一等品。</w:t>
      </w:r>
    </w:p>
    <w:p w14:paraId="45790678" w14:textId="77777777" w:rsidR="00555424" w:rsidRDefault="00555424"/>
    <w:p w14:paraId="4EF9FA71" w14:textId="77777777" w:rsidR="00555424" w:rsidRDefault="00555424">
      <w:pPr>
        <w:rPr>
          <w:rFonts w:hint="eastAsia"/>
        </w:rPr>
      </w:pPr>
      <w:r>
        <w:t>替代品及升贴水</w:t>
      </w:r>
      <w:r>
        <w:rPr>
          <w:rFonts w:hint="eastAsia"/>
        </w:rPr>
        <w:t>：</w:t>
      </w:r>
      <w:r>
        <w:t>替代品为符合国标规定的</w:t>
      </w:r>
      <w:r>
        <w:t>6mm</w:t>
      </w:r>
      <w:r>
        <w:t>无色透明平板玻璃（规格为</w:t>
      </w:r>
      <w:r>
        <w:t>3.66m×2.44m</w:t>
      </w:r>
      <w:r>
        <w:t>）一等品，且无需支付升贴水</w:t>
      </w:r>
      <w:r>
        <w:rPr>
          <w:rFonts w:hint="eastAsia"/>
        </w:rPr>
        <w:t>（现货价格与该商品在期货市场的期货价格之差）</w:t>
      </w:r>
      <w:r>
        <w:t>。</w:t>
      </w:r>
    </w:p>
    <w:p w14:paraId="67099A83" w14:textId="77777777" w:rsidR="00555424" w:rsidRDefault="00555424"/>
    <w:p w14:paraId="76798F25" w14:textId="77777777" w:rsidR="00555424" w:rsidRDefault="00555424">
      <w:pPr>
        <w:rPr>
          <w:rFonts w:hint="eastAsia"/>
        </w:rPr>
      </w:pPr>
      <w:r>
        <w:t>玻璃期货适用期货转现货和厂库标准仓单交割</w:t>
      </w:r>
      <w:r>
        <w:rPr>
          <w:rFonts w:hint="eastAsia"/>
        </w:rPr>
        <w:t>。</w:t>
      </w:r>
    </w:p>
    <w:p w14:paraId="30756C70" w14:textId="77777777" w:rsidR="00555424" w:rsidRDefault="00555424">
      <w:pPr>
        <w:rPr>
          <w:rFonts w:hint="eastAsia"/>
        </w:rPr>
      </w:pPr>
      <w:r>
        <w:rPr>
          <w:rFonts w:hint="eastAsia"/>
        </w:rPr>
        <w:t>期货转现货（期转现）：期货持仓的买卖双方通过协商，达成现货买卖协议后，将期货持仓转换为现货交易。</w:t>
      </w:r>
    </w:p>
    <w:p w14:paraId="23CDD10B" w14:textId="77777777" w:rsidR="00555424" w:rsidRDefault="00555424">
      <w:pPr>
        <w:rPr>
          <w:rFonts w:hint="eastAsia"/>
        </w:rPr>
      </w:pPr>
      <w:r>
        <w:rPr>
          <w:rFonts w:hint="eastAsia"/>
        </w:rPr>
        <w:t>厂库标准仓单交割：卖方通过将存储在指定交割厂库的标准仓单转移给买方，以完成实物交割。</w:t>
      </w:r>
    </w:p>
    <w:p w14:paraId="29D949FF" w14:textId="77777777" w:rsidR="00555424" w:rsidRDefault="00555424">
      <w:r>
        <w:rPr>
          <w:rFonts w:hint="eastAsia"/>
          <w:b/>
          <w:bCs/>
        </w:rPr>
        <w:t>需要注意的是</w:t>
      </w:r>
      <w:r>
        <w:rPr>
          <w:rFonts w:hint="eastAsia"/>
        </w:rPr>
        <w:t>，个人投资者</w:t>
      </w:r>
      <w:r>
        <w:t>不能</w:t>
      </w:r>
      <w:r>
        <w:rPr>
          <w:rFonts w:hint="eastAsia"/>
        </w:rPr>
        <w:t>进行</w:t>
      </w:r>
      <w:r>
        <w:t>交割；企业法人必须具备开具玻璃增值税资格。</w:t>
      </w:r>
    </w:p>
    <w:p w14:paraId="0FF87B8E" w14:textId="77777777" w:rsidR="00555424" w:rsidRDefault="00555424">
      <w:pPr>
        <w:rPr>
          <w:rFonts w:hint="eastAsia"/>
        </w:rPr>
      </w:pPr>
    </w:p>
    <w:p w14:paraId="4AA8A7BD" w14:textId="77777777" w:rsidR="00555424" w:rsidRDefault="00555424">
      <w:pPr>
        <w:rPr>
          <w:rFonts w:hint="eastAsia"/>
        </w:rPr>
      </w:pPr>
    </w:p>
    <w:p w14:paraId="4337DD7E" w14:textId="77777777" w:rsidR="00555424" w:rsidRDefault="00555424">
      <w:pPr>
        <w:rPr>
          <w:rFonts w:hint="eastAsia"/>
        </w:rPr>
      </w:pPr>
      <w:r>
        <w:rPr>
          <w:rFonts w:hint="eastAsia"/>
        </w:rPr>
        <w:t>详尽了解玻璃期货的保证</w:t>
      </w:r>
      <w:r>
        <w:rPr>
          <w:rFonts w:hint="eastAsia"/>
        </w:rPr>
        <w:t>金、涨跌停、持仓限制、交易单位、时间、交割细则等复杂规则，有助于确保合规操作与理性投资决策。</w:t>
      </w:r>
    </w:p>
    <w:p w14:paraId="513910D3" w14:textId="77777777" w:rsidR="00555424" w:rsidRDefault="00555424"/>
    <w:p w14:paraId="154757A1" w14:textId="77777777" w:rsidR="00555424" w:rsidRDefault="00555424"/>
    <w:p w14:paraId="6CF98152" w14:textId="77777777" w:rsidR="00555424" w:rsidRDefault="00555424">
      <w:pPr>
        <w:rPr>
          <w:b/>
          <w:bCs/>
        </w:rPr>
      </w:pPr>
      <w:r>
        <w:rPr>
          <w:rFonts w:hint="eastAsia"/>
          <w:b/>
          <w:bCs/>
        </w:rPr>
        <w:t>二、玻璃期货的交易与注意事项</w:t>
      </w:r>
    </w:p>
    <w:p w14:paraId="3AE30BB8" w14:textId="77777777" w:rsidR="00555424" w:rsidRDefault="00555424">
      <w:pPr>
        <w:rPr>
          <w:rFonts w:hint="eastAsia"/>
        </w:rPr>
      </w:pPr>
    </w:p>
    <w:p w14:paraId="33455F19" w14:textId="77777777" w:rsidR="00555424" w:rsidRDefault="00555424">
      <w:pPr>
        <w:rPr>
          <w:rFonts w:hint="eastAsia"/>
        </w:rPr>
      </w:pPr>
      <w:r>
        <w:rPr>
          <w:rFonts w:hint="eastAsia"/>
        </w:rPr>
        <w:t>为了</w:t>
      </w:r>
      <w:r>
        <w:t>保护投资者、维护市场秩序和确保交易公平性</w:t>
      </w:r>
      <w:r>
        <w:rPr>
          <w:rFonts w:hint="eastAsia"/>
        </w:rPr>
        <w:t>，</w:t>
      </w:r>
      <w:r>
        <w:t>玻璃期货交易权限的获取</w:t>
      </w:r>
      <w:r>
        <w:rPr>
          <w:rFonts w:hint="eastAsia"/>
        </w:rPr>
        <w:t>，</w:t>
      </w:r>
      <w:r>
        <w:t>主要遵循期货市场的一般规定，</w:t>
      </w:r>
      <w:r>
        <w:rPr>
          <w:rFonts w:hint="eastAsia"/>
        </w:rPr>
        <w:t>想要进行玻璃期货交易并开立账户，需要符合一定</w:t>
      </w:r>
      <w:r>
        <w:t>基本条件</w:t>
      </w:r>
      <w:r>
        <w:rPr>
          <w:rFonts w:hint="eastAsia"/>
        </w:rPr>
        <w:t>：</w:t>
      </w:r>
    </w:p>
    <w:p w14:paraId="075DFFFA" w14:textId="77777777" w:rsidR="00555424" w:rsidRDefault="00555424">
      <w:pPr>
        <w:rPr>
          <w:rFonts w:hint="eastAsia"/>
        </w:rPr>
      </w:pPr>
      <w:r>
        <w:rPr>
          <w:rFonts w:hint="eastAsia"/>
        </w:rPr>
        <w:t>1</w:t>
      </w:r>
      <w:r>
        <w:rPr>
          <w:rFonts w:hint="eastAsia"/>
        </w:rPr>
        <w:t>、申请人须年满</w:t>
      </w:r>
      <w:r>
        <w:rPr>
          <w:rFonts w:hint="eastAsia"/>
        </w:rPr>
        <w:t>18</w:t>
      </w:r>
      <w:r>
        <w:rPr>
          <w:rFonts w:hint="eastAsia"/>
        </w:rPr>
        <w:t>岁，具备完全的民事行为能力。</w:t>
      </w:r>
    </w:p>
    <w:p w14:paraId="3C31CEA5" w14:textId="77777777" w:rsidR="00555424" w:rsidRDefault="00555424">
      <w:pPr>
        <w:rPr>
          <w:rFonts w:hint="eastAsia"/>
        </w:rPr>
      </w:pPr>
      <w:r>
        <w:rPr>
          <w:rFonts w:hint="eastAsia"/>
        </w:rPr>
        <w:t>2</w:t>
      </w:r>
      <w:r>
        <w:rPr>
          <w:rFonts w:hint="eastAsia"/>
        </w:rPr>
        <w:t>、投资者必须用真实的身份信息进行开户。</w:t>
      </w:r>
    </w:p>
    <w:p w14:paraId="5DD16BF4" w14:textId="77777777" w:rsidR="00555424" w:rsidRDefault="00555424">
      <w:pPr>
        <w:rPr>
          <w:rFonts w:hint="eastAsia"/>
        </w:rPr>
      </w:pPr>
      <w:r>
        <w:rPr>
          <w:rFonts w:hint="eastAsia"/>
        </w:rPr>
        <w:t>3</w:t>
      </w:r>
      <w:r>
        <w:rPr>
          <w:rFonts w:hint="eastAsia"/>
        </w:rPr>
        <w:t>、开户者提供的所有证件及信息必须真实有效。</w:t>
      </w:r>
    </w:p>
    <w:p w14:paraId="46274B94" w14:textId="77777777" w:rsidR="00555424" w:rsidRDefault="00555424">
      <w:pPr>
        <w:rPr>
          <w:rFonts w:hint="eastAsia"/>
        </w:rPr>
      </w:pPr>
      <w:r>
        <w:rPr>
          <w:rFonts w:hint="eastAsia"/>
        </w:rPr>
        <w:t>4</w:t>
      </w:r>
      <w:r>
        <w:rPr>
          <w:rFonts w:hint="eastAsia"/>
        </w:rPr>
        <w:t>、开户者要确保用于期货交易的资金来源正当。</w:t>
      </w:r>
    </w:p>
    <w:p w14:paraId="6C8B41BB" w14:textId="77777777" w:rsidR="00555424" w:rsidRDefault="00555424">
      <w:pPr>
        <w:rPr>
          <w:rFonts w:hint="eastAsia"/>
        </w:rPr>
      </w:pPr>
    </w:p>
    <w:p w14:paraId="3565A263" w14:textId="77777777" w:rsidR="00555424" w:rsidRDefault="00555424">
      <w:r>
        <w:t>玻璃期货合约</w:t>
      </w:r>
      <w:r>
        <w:rPr>
          <w:rFonts w:hint="eastAsia"/>
        </w:rPr>
        <w:t>中涉及</w:t>
      </w:r>
      <w:r>
        <w:t>详细的交易规则和条款说明书，其内容通常包括：</w:t>
      </w:r>
    </w:p>
    <w:p w14:paraId="171388C2" w14:textId="77777777" w:rsidR="00555424" w:rsidRDefault="00555424">
      <w:r>
        <w:t xml:space="preserve">1. </w:t>
      </w:r>
      <w:r>
        <w:t>交易品种：明确指出是哪种类型的玻璃产品，如平板玻璃。</w:t>
      </w:r>
    </w:p>
    <w:p w14:paraId="63723751" w14:textId="77777777" w:rsidR="00555424" w:rsidRDefault="00555424">
      <w:r>
        <w:t xml:space="preserve">2. </w:t>
      </w:r>
      <w:r>
        <w:t>交易单位：每手合约代表的玻璃数量。</w:t>
      </w:r>
    </w:p>
    <w:p w14:paraId="2FC10B26" w14:textId="77777777" w:rsidR="00555424" w:rsidRDefault="00555424">
      <w:r>
        <w:lastRenderedPageBreak/>
        <w:t xml:space="preserve">3. </w:t>
      </w:r>
      <w:r>
        <w:t>报价单位：期货合约的价格计算基础。</w:t>
      </w:r>
    </w:p>
    <w:p w14:paraId="1BD579CA" w14:textId="77777777" w:rsidR="00555424" w:rsidRDefault="00555424">
      <w:r>
        <w:t xml:space="preserve">4. </w:t>
      </w:r>
      <w:r>
        <w:t>最小变动价位：每变动一次的价格最小单位。</w:t>
      </w:r>
    </w:p>
    <w:p w14:paraId="67ADEAB6" w14:textId="77777777" w:rsidR="00555424" w:rsidRDefault="00555424">
      <w:r>
        <w:t xml:space="preserve">5. </w:t>
      </w:r>
      <w:r>
        <w:t>每日价格波动限制：规定合约每日涨跌幅的最大范围，比如上一交易日结算价</w:t>
      </w:r>
      <w:r>
        <w:t>±4%</w:t>
      </w:r>
      <w:r>
        <w:t>。</w:t>
      </w:r>
    </w:p>
    <w:p w14:paraId="16122807" w14:textId="77777777" w:rsidR="00555424" w:rsidRDefault="00555424">
      <w:r>
        <w:t xml:space="preserve">6. </w:t>
      </w:r>
      <w:r>
        <w:t>交割月份：指定合约可以进行实物交割的日期范围或具体月份。</w:t>
      </w:r>
    </w:p>
    <w:p w14:paraId="51965B33" w14:textId="77777777" w:rsidR="00555424" w:rsidRDefault="00555424">
      <w:r>
        <w:t xml:space="preserve">7. </w:t>
      </w:r>
      <w:r>
        <w:t>交割地点：指定商品交割的仓库或区域。</w:t>
      </w:r>
    </w:p>
    <w:p w14:paraId="10359862" w14:textId="77777777" w:rsidR="00555424" w:rsidRDefault="00555424">
      <w:r>
        <w:t xml:space="preserve">8. </w:t>
      </w:r>
      <w:r>
        <w:t>交割方式：说明如何进行实物交割或现金结算。</w:t>
      </w:r>
    </w:p>
    <w:p w14:paraId="7323ADCE" w14:textId="77777777" w:rsidR="00555424" w:rsidRDefault="00555424">
      <w:pPr>
        <w:rPr>
          <w:rFonts w:hint="eastAsia"/>
        </w:rPr>
      </w:pPr>
      <w:r>
        <w:t xml:space="preserve">9. </w:t>
      </w:r>
      <w:r>
        <w:t>保证金制度：规定交易者需要存入交易所作为履约保证的</w:t>
      </w:r>
      <w:r>
        <w:t>资金比例及调整机制。</w:t>
      </w:r>
    </w:p>
    <w:p w14:paraId="3ACFBF9B" w14:textId="77777777" w:rsidR="00555424" w:rsidRDefault="00555424">
      <w:pPr>
        <w:rPr>
          <w:rFonts w:hint="eastAsia"/>
        </w:rPr>
      </w:pPr>
    </w:p>
    <w:p w14:paraId="4EF67C3E" w14:textId="77777777" w:rsidR="00555424" w:rsidRDefault="00555424">
      <w:pPr>
        <w:rPr>
          <w:rFonts w:hint="eastAsia"/>
        </w:rPr>
      </w:pPr>
      <w:r>
        <w:rPr>
          <w:rFonts w:hint="eastAsia"/>
        </w:rPr>
        <w:t>以上的详细交易规则和条款说明书，对维护市场，保护投资者，促进稳定发展及便利交易交割至关重要，在参与玻璃期货交易前，投资者应认真阅读并理解相关规则和条款。</w:t>
      </w:r>
    </w:p>
    <w:p w14:paraId="610935AE" w14:textId="77777777" w:rsidR="00555424" w:rsidRDefault="00555424">
      <w:pPr>
        <w:rPr>
          <w:rFonts w:hint="eastAsia"/>
        </w:rPr>
      </w:pPr>
    </w:p>
    <w:p w14:paraId="395D4847" w14:textId="77777777" w:rsidR="00555424" w:rsidRDefault="00555424">
      <w:pPr>
        <w:rPr>
          <w:rFonts w:hint="eastAsia"/>
        </w:rPr>
      </w:pPr>
      <w:r>
        <w:rPr>
          <w:rFonts w:hint="eastAsia"/>
        </w:rPr>
        <w:t>此外，在进行玻璃期货交易时，也要注意以下事项：</w:t>
      </w:r>
    </w:p>
    <w:p w14:paraId="4AAA8D21" w14:textId="77777777" w:rsidR="00555424" w:rsidRDefault="00555424">
      <w:pPr>
        <w:numPr>
          <w:ilvl w:val="0"/>
          <w:numId w:val="1"/>
        </w:numPr>
      </w:pPr>
      <w:r>
        <w:t>投资者应当系统性地学习期货市场的基本原理，比如期货合约的具体规格、保证金制度如何运作、以及交割规则的细节。</w:t>
      </w:r>
    </w:p>
    <w:p w14:paraId="0BF513D1" w14:textId="77777777" w:rsidR="00555424" w:rsidRDefault="00555424">
      <w:pPr>
        <w:numPr>
          <w:ilvl w:val="0"/>
          <w:numId w:val="1"/>
        </w:numPr>
      </w:pPr>
      <w:r>
        <w:t>对玻璃行业的基本面有深入的了解也至关重要，包括行业的供需平衡状况、哪些因素会影响价格变动、以及政策导向可能带来的变化等。</w:t>
      </w:r>
    </w:p>
    <w:p w14:paraId="5405F0D2" w14:textId="77777777" w:rsidR="00555424" w:rsidRDefault="00555424">
      <w:pPr>
        <w:numPr>
          <w:ilvl w:val="0"/>
          <w:numId w:val="1"/>
        </w:numPr>
      </w:pPr>
      <w:r>
        <w:t>投资者需要精心管理自己的账户资金，合理分配，以应对不可预测的市场波动。设定合理的止损点</w:t>
      </w:r>
      <w:r>
        <w:rPr>
          <w:rFonts w:hint="eastAsia"/>
        </w:rPr>
        <w:t>，避免单笔交易损失过大影响整体账户安全。</w:t>
      </w:r>
    </w:p>
    <w:p w14:paraId="02F49577" w14:textId="77777777" w:rsidR="00555424" w:rsidRDefault="00555424">
      <w:pPr>
        <w:numPr>
          <w:ilvl w:val="0"/>
          <w:numId w:val="1"/>
        </w:numPr>
      </w:pPr>
      <w:r>
        <w:t>面对市场的波动和不确定性，投资者需要保持冷静和理性，不受短期盈亏的影响而做出冲动决策。</w:t>
      </w:r>
      <w:r>
        <w:rPr>
          <w:rFonts w:hint="eastAsia"/>
        </w:rPr>
        <w:t>也</w:t>
      </w:r>
      <w:r>
        <w:t>不盲目跟风或听信小道消息，</w:t>
      </w:r>
      <w:r>
        <w:rPr>
          <w:rFonts w:hint="eastAsia"/>
        </w:rPr>
        <w:t>要</w:t>
      </w:r>
      <w:r>
        <w:t>基于自己的分析和判断进行交易决策。</w:t>
      </w:r>
    </w:p>
    <w:p w14:paraId="7C169C4A" w14:textId="77777777" w:rsidR="00555424" w:rsidRDefault="00555424">
      <w:pPr>
        <w:numPr>
          <w:ilvl w:val="0"/>
          <w:numId w:val="1"/>
        </w:numPr>
      </w:pPr>
      <w:r>
        <w:t>由于玻璃期货存在实物交割环节，投资者如果不打算进行实物交割，就需要在规定的时间内将持仓平掉或转为离交割月份较远的期货合约。</w:t>
      </w:r>
    </w:p>
    <w:p w14:paraId="0A76CD95" w14:textId="77777777" w:rsidR="00555424" w:rsidRDefault="00555424"/>
    <w:p w14:paraId="0AB97991" w14:textId="77777777" w:rsidR="00555424" w:rsidRDefault="00555424">
      <w:pPr>
        <w:rPr>
          <w:rFonts w:hint="eastAsia"/>
        </w:rPr>
      </w:pPr>
      <w:r>
        <w:rPr>
          <w:rFonts w:hint="eastAsia"/>
        </w:rPr>
        <w:t>总之，充分认识和运用玻璃期货工具，并</w:t>
      </w:r>
      <w:r>
        <w:t>遵守期货市场的规则</w:t>
      </w:r>
      <w:r>
        <w:rPr>
          <w:rFonts w:hint="eastAsia"/>
        </w:rPr>
        <w:t>，才能真正地应用到企业经营实践中，为生产经营保驾护航。投资领域蕴含风险，每一步操作都要基于充分的分析与谨慎</w:t>
      </w:r>
      <w:r>
        <w:rPr>
          <w:rFonts w:hint="eastAsia"/>
        </w:rPr>
        <w:t>的考量。</w:t>
      </w:r>
    </w:p>
    <w:p w14:paraId="08795824" w14:textId="77777777" w:rsidR="00555424" w:rsidRDefault="00555424">
      <w:pPr>
        <w:rPr>
          <w:rFonts w:hint="eastAsia"/>
        </w:rPr>
      </w:pPr>
    </w:p>
    <w:p w14:paraId="323713DA" w14:textId="77777777" w:rsidR="00555424" w:rsidRDefault="00555424">
      <w:r>
        <w:rPr>
          <w:rFonts w:hint="eastAsia"/>
        </w:rPr>
        <w:t>至此，玻璃期货系列知识科普到此结束。下一期大课堂将开启汽车玻璃系列知识科普，敬请期待</w:t>
      </w:r>
      <w:r>
        <w:rPr>
          <w:rFonts w:hint="eastAsia"/>
        </w:rPr>
        <w:t>~</w:t>
      </w:r>
      <w:r>
        <w:rPr>
          <w:rFonts w:hint="eastAsia"/>
        </w:rPr>
        <w:t>想要了解更多玻璃玻璃知识，欢迎留言或私信！</w:t>
      </w:r>
    </w:p>
    <w:sectPr w:rsidR="0055542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58E87" w14:textId="77777777" w:rsidR="00555424" w:rsidRDefault="00555424" w:rsidP="005D094E">
      <w:r>
        <w:separator/>
      </w:r>
    </w:p>
  </w:endnote>
  <w:endnote w:type="continuationSeparator" w:id="0">
    <w:p w14:paraId="3F714453" w14:textId="77777777" w:rsidR="00555424" w:rsidRDefault="00555424" w:rsidP="005D0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7B8C6" w14:textId="77777777" w:rsidR="00555424" w:rsidRDefault="00555424" w:rsidP="005D094E">
      <w:r>
        <w:separator/>
      </w:r>
    </w:p>
  </w:footnote>
  <w:footnote w:type="continuationSeparator" w:id="0">
    <w:p w14:paraId="19EEE519" w14:textId="77777777" w:rsidR="00555424" w:rsidRDefault="00555424" w:rsidP="005D0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068F7"/>
    <w:multiLevelType w:val="singleLevel"/>
    <w:tmpl w:val="1BE068F7"/>
    <w:lvl w:ilvl="0">
      <w:start w:val="1"/>
      <w:numFmt w:val="decimal"/>
      <w:suff w:val="nothing"/>
      <w:lvlText w:val="%1、"/>
      <w:lvlJc w:val="left"/>
    </w:lvl>
  </w:abstractNum>
  <w:num w:numId="1" w16cid:durableId="1364794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I3ODcyYTJlM2EwZDg3OWQ1OTFkZDBlMDNkMGJlNTIifQ=="/>
  </w:docVars>
  <w:rsids>
    <w:rsidRoot w:val="005D094E"/>
    <w:rsid w:val="001A64C4"/>
    <w:rsid w:val="00555424"/>
    <w:rsid w:val="005D094E"/>
    <w:rsid w:val="02E72B21"/>
    <w:rsid w:val="035B2704"/>
    <w:rsid w:val="070B57B7"/>
    <w:rsid w:val="07CD5324"/>
    <w:rsid w:val="08D01EA3"/>
    <w:rsid w:val="0A13455E"/>
    <w:rsid w:val="0BB87FE9"/>
    <w:rsid w:val="0BF32FD9"/>
    <w:rsid w:val="0D757176"/>
    <w:rsid w:val="0E616439"/>
    <w:rsid w:val="0F9D4547"/>
    <w:rsid w:val="115A6CAE"/>
    <w:rsid w:val="1698172B"/>
    <w:rsid w:val="171354F1"/>
    <w:rsid w:val="191A24C5"/>
    <w:rsid w:val="1971018C"/>
    <w:rsid w:val="19F35045"/>
    <w:rsid w:val="1A7844CB"/>
    <w:rsid w:val="1A937147"/>
    <w:rsid w:val="1AF851FC"/>
    <w:rsid w:val="1BB11EE9"/>
    <w:rsid w:val="1BB27AA1"/>
    <w:rsid w:val="1D3DAE5D"/>
    <w:rsid w:val="1D5232E9"/>
    <w:rsid w:val="1F364180"/>
    <w:rsid w:val="1F7FB666"/>
    <w:rsid w:val="21AE2410"/>
    <w:rsid w:val="2283460C"/>
    <w:rsid w:val="229121BE"/>
    <w:rsid w:val="24C7C775"/>
    <w:rsid w:val="26D51168"/>
    <w:rsid w:val="2CD63A00"/>
    <w:rsid w:val="2E815492"/>
    <w:rsid w:val="2FFDCA58"/>
    <w:rsid w:val="305F1B4D"/>
    <w:rsid w:val="325D030E"/>
    <w:rsid w:val="33D32139"/>
    <w:rsid w:val="35A818A1"/>
    <w:rsid w:val="364674DC"/>
    <w:rsid w:val="36911921"/>
    <w:rsid w:val="374800C8"/>
    <w:rsid w:val="37BB1C5A"/>
    <w:rsid w:val="38E54BBA"/>
    <w:rsid w:val="39754190"/>
    <w:rsid w:val="3B1541D3"/>
    <w:rsid w:val="3CAF36AA"/>
    <w:rsid w:val="3DB232F4"/>
    <w:rsid w:val="3E02162D"/>
    <w:rsid w:val="3E995E54"/>
    <w:rsid w:val="3FADEFB6"/>
    <w:rsid w:val="3FD29815"/>
    <w:rsid w:val="40C2380A"/>
    <w:rsid w:val="41A15A5D"/>
    <w:rsid w:val="43932EB5"/>
    <w:rsid w:val="4404768B"/>
    <w:rsid w:val="441D5B50"/>
    <w:rsid w:val="44CF7A97"/>
    <w:rsid w:val="4587600E"/>
    <w:rsid w:val="49C152CA"/>
    <w:rsid w:val="49E135CB"/>
    <w:rsid w:val="49FFC11E"/>
    <w:rsid w:val="4A875F5A"/>
    <w:rsid w:val="4AC62B40"/>
    <w:rsid w:val="4AFA5BA7"/>
    <w:rsid w:val="4B207620"/>
    <w:rsid w:val="4B2E419E"/>
    <w:rsid w:val="4B3612A5"/>
    <w:rsid w:val="4BEE4070"/>
    <w:rsid w:val="4CC04C8C"/>
    <w:rsid w:val="4D243AAB"/>
    <w:rsid w:val="4ECA68D4"/>
    <w:rsid w:val="4EEFB2F1"/>
    <w:rsid w:val="4EFBD43B"/>
    <w:rsid w:val="4F80727E"/>
    <w:rsid w:val="51E142D5"/>
    <w:rsid w:val="52A116FA"/>
    <w:rsid w:val="532350E0"/>
    <w:rsid w:val="53514ECE"/>
    <w:rsid w:val="537F48DF"/>
    <w:rsid w:val="570D2E66"/>
    <w:rsid w:val="571C2C91"/>
    <w:rsid w:val="572130A4"/>
    <w:rsid w:val="58365C60"/>
    <w:rsid w:val="59A16803"/>
    <w:rsid w:val="5CF95962"/>
    <w:rsid w:val="5DF35532"/>
    <w:rsid w:val="5DF50B4C"/>
    <w:rsid w:val="5E5F11DE"/>
    <w:rsid w:val="5EF808F3"/>
    <w:rsid w:val="5F265461"/>
    <w:rsid w:val="60652FF7"/>
    <w:rsid w:val="608B3FD0"/>
    <w:rsid w:val="60D72704"/>
    <w:rsid w:val="60E47381"/>
    <w:rsid w:val="619743F4"/>
    <w:rsid w:val="61B55720"/>
    <w:rsid w:val="62505983"/>
    <w:rsid w:val="626D6336"/>
    <w:rsid w:val="650E5259"/>
    <w:rsid w:val="65DC0F6F"/>
    <w:rsid w:val="672A5368"/>
    <w:rsid w:val="672F07DD"/>
    <w:rsid w:val="67B511F5"/>
    <w:rsid w:val="6B8C6F93"/>
    <w:rsid w:val="6DE52928"/>
    <w:rsid w:val="6DFD52A6"/>
    <w:rsid w:val="6FF5B349"/>
    <w:rsid w:val="6FFDAB1A"/>
    <w:rsid w:val="70C25205"/>
    <w:rsid w:val="71EE15BC"/>
    <w:rsid w:val="72DD355F"/>
    <w:rsid w:val="75750950"/>
    <w:rsid w:val="75EA5C3D"/>
    <w:rsid w:val="774927BC"/>
    <w:rsid w:val="79F942C4"/>
    <w:rsid w:val="7AE78885"/>
    <w:rsid w:val="7B0E14C5"/>
    <w:rsid w:val="7BAE0860"/>
    <w:rsid w:val="7BBFBC8C"/>
    <w:rsid w:val="7CF562FB"/>
    <w:rsid w:val="7D003531"/>
    <w:rsid w:val="7D6D6607"/>
    <w:rsid w:val="7DDB4E9F"/>
    <w:rsid w:val="7DFD05E9"/>
    <w:rsid w:val="7EBA250E"/>
    <w:rsid w:val="7FBFA483"/>
    <w:rsid w:val="7FD9DFED"/>
    <w:rsid w:val="7FDF3DF0"/>
    <w:rsid w:val="7FEB34F7"/>
    <w:rsid w:val="7FEEB234"/>
    <w:rsid w:val="7FEF38E3"/>
    <w:rsid w:val="9B7FABA1"/>
    <w:rsid w:val="9FFF2742"/>
    <w:rsid w:val="A7494D55"/>
    <w:rsid w:val="AE7B36E1"/>
    <w:rsid w:val="AFFF6163"/>
    <w:rsid w:val="B1BF2473"/>
    <w:rsid w:val="B7E60569"/>
    <w:rsid w:val="B83FEEDE"/>
    <w:rsid w:val="BBFB67C6"/>
    <w:rsid w:val="BDBAA190"/>
    <w:rsid w:val="BE7F635B"/>
    <w:rsid w:val="BFF54D01"/>
    <w:rsid w:val="C6ECCB80"/>
    <w:rsid w:val="C9FE92FF"/>
    <w:rsid w:val="DFF9DD86"/>
    <w:rsid w:val="EEDFFA27"/>
    <w:rsid w:val="EFED5D7C"/>
    <w:rsid w:val="EFFD5882"/>
    <w:rsid w:val="F48FEE36"/>
    <w:rsid w:val="F4FB6BB5"/>
    <w:rsid w:val="F6B6E796"/>
    <w:rsid w:val="F8E24623"/>
    <w:rsid w:val="FAD3CB49"/>
    <w:rsid w:val="FD44E642"/>
    <w:rsid w:val="FDFE18AA"/>
    <w:rsid w:val="FE7F4C0A"/>
    <w:rsid w:val="FEFBEDE1"/>
    <w:rsid w:val="FFCFBFF1"/>
    <w:rsid w:val="FFE910C9"/>
    <w:rsid w:val="FFEF8B8D"/>
    <w:rsid w:val="FFFD9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864BDF"/>
  <w15:chartTrackingRefBased/>
  <w15:docId w15:val="{21A7CAC1-49F5-4B73-B81A-88D6B299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semiHidden/>
    <w:qForma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pPr>
      <w:spacing w:before="100" w:beforeAutospacing="1" w:after="100" w:afterAutospacing="1"/>
      <w:jc w:val="left"/>
    </w:pPr>
    <w:rPr>
      <w:kern w:val="0"/>
      <w:sz w:val="24"/>
    </w:rPr>
  </w:style>
  <w:style w:type="character" w:styleId="a3">
    <w:name w:val="Strong"/>
    <w:basedOn w:val="a0"/>
    <w:qFormat/>
    <w:rPr>
      <w:b/>
    </w:rPr>
  </w:style>
  <w:style w:type="character" w:styleId="a4">
    <w:name w:val="Hyperlink"/>
    <w:basedOn w:val="a0"/>
    <w:rPr>
      <w:color w:val="0000FF"/>
      <w:u w:val="single"/>
    </w:rPr>
  </w:style>
  <w:style w:type="paragraph" w:styleId="a5">
    <w:name w:val="header"/>
    <w:basedOn w:val="a"/>
    <w:link w:val="a6"/>
    <w:rsid w:val="005D094E"/>
    <w:pPr>
      <w:tabs>
        <w:tab w:val="center" w:pos="4153"/>
        <w:tab w:val="right" w:pos="8306"/>
      </w:tabs>
      <w:snapToGrid w:val="0"/>
      <w:jc w:val="center"/>
    </w:pPr>
    <w:rPr>
      <w:sz w:val="18"/>
      <w:szCs w:val="18"/>
    </w:rPr>
  </w:style>
  <w:style w:type="character" w:customStyle="1" w:styleId="a6">
    <w:name w:val="頁首 字元"/>
    <w:basedOn w:val="a0"/>
    <w:link w:val="a5"/>
    <w:rsid w:val="005D094E"/>
    <w:rPr>
      <w:rFonts w:ascii="Calibri" w:hAnsi="Calibri"/>
      <w:kern w:val="2"/>
      <w:sz w:val="18"/>
      <w:szCs w:val="18"/>
    </w:rPr>
  </w:style>
  <w:style w:type="paragraph" w:styleId="a7">
    <w:name w:val="footer"/>
    <w:basedOn w:val="a"/>
    <w:link w:val="a8"/>
    <w:rsid w:val="005D094E"/>
    <w:pPr>
      <w:tabs>
        <w:tab w:val="center" w:pos="4153"/>
        <w:tab w:val="right" w:pos="8306"/>
      </w:tabs>
      <w:snapToGrid w:val="0"/>
      <w:jc w:val="left"/>
    </w:pPr>
    <w:rPr>
      <w:sz w:val="18"/>
      <w:szCs w:val="18"/>
    </w:rPr>
  </w:style>
  <w:style w:type="character" w:customStyle="1" w:styleId="a8">
    <w:name w:val="頁尾 字元"/>
    <w:basedOn w:val="a0"/>
    <w:link w:val="a7"/>
    <w:rsid w:val="005D094E"/>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4396</Words>
  <Characters>4524</Characters>
  <Application>Microsoft Office Word</Application>
  <DocSecurity>0</DocSecurity>
  <Lines>212</Lines>
  <Paragraphs>102</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工业视觉产研事业部</cp:lastModifiedBy>
  <cp:revision>2</cp:revision>
  <dcterms:created xsi:type="dcterms:W3CDTF">2026-09-10T05:37:00Z</dcterms:created>
  <dcterms:modified xsi:type="dcterms:W3CDTF">2026-09-10T05:37:00Z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880B136A92474E33ADBDAA72716655C7_13</vt:lpwstr>
  </property>
</Properties>
</file>