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Lung-AI 在投论文中文翻译</w:t>
      </w:r>
    </w:p>
    <w:p>
      <w:r>
        <w:t>说明：本文件根据在投 Word 稿件自动生成，保留原有章节顺序，并补充图表中文说明，便于后续继续改写或并入毕业论文。</w:t>
      </w:r>
    </w:p>
    <w:p>
      <w:r>
        <w:t>肺-AI-手稿-xxm-0.6 2025-11-28</w:t>
      </w:r>
    </w:p>
    <w:p>
      <w:r>
        <w:t>基于人工智能的肿瘤消退和瘤周免疫细胞密度评估可预测非 pCR 肺鳞状细胞癌新辅助免疫化疗后的结果</w:t>
      </w:r>
    </w:p>
    <w:p>
      <w:pPr>
        <w:pStyle w:val="Heading1"/>
      </w:pPr>
      <w:r>
        <w:t>摘要</w:t>
      </w:r>
    </w:p>
    <w:p>
      <w:pPr>
        <w:pStyle w:val="Heading1"/>
      </w:pPr>
      <w:r>
        <w:t>背景</w:t>
      </w:r>
    </w:p>
    <w:p>
      <w:r>
        <w:t>新辅助免疫化疗越来越多地用于非小细胞肺癌（NSCLC），但准确评估治疗反应和预后仍然具有挑战性，特别是对于没有病理完全缓解（非 pCR）的患者。除了残余活肿瘤（RVT）评估之外，还需要反映肿瘤微环境的其他生物标志物来改善术后风险分层。</w:t>
      </w:r>
    </w:p>
    <w:p>
      <w:pPr>
        <w:pStyle w:val="Heading1"/>
      </w:pPr>
      <w:r>
        <w:t>方法</w:t>
      </w:r>
    </w:p>
    <w:p>
      <w:r>
        <w:t>We developed a multi-scale artificial intelligence (AI)-based pathology framework to quantify RVT peritumoral immune cell density 最远检测 700-μm margin of the tumor boundary. Concordance between AI-derived RVT (AI-RVT) and visual RVT (VIS-RVT) was assessed using intraclass correlation coefficients (ICCs). Associations with disease-free survival (DFS) and overall survival (OS) were evaluated using Kaplan-Meier Log-rank and multivariable Cox analyses.</w:t>
      </w:r>
    </w:p>
    <w:p>
      <w:pPr>
        <w:pStyle w:val="Heading1"/>
      </w:pPr>
      <w:r>
        <w:t>结果</w:t>
      </w:r>
    </w:p>
    <w:p>
      <w:r>
        <w:t>AI-RVT 与 VIS-RVT 表现出高度一致性（ICC = 0.86-0.93），在以 10% 为截止点对 MPR 与非 MPR 进行分类时达到了 95.2% 的一致性，并且在调整非 pCR 队列中的 ypN 状态后，与 VIS-RVT 相比，AI-RVT 提供了更好的 DFS 分层（p = 0.040）。同时，连续 AI-RVT 和 VIS-RVT 均与较短的 DFS 独立相关（AI-RVT：HR = 7.0，p = 0.037；VIS-RVT：HR = 7.2，p = 0.018），但单独使用 RVT 并不能充分对 OS 风险进行分层。</w:t>
      </w:r>
    </w:p>
    <w:p>
      <w:r>
        <w:t>相比之下，瘤周淋巴细胞富集可独立预测残留病患者 OS 的改善（HR = 0.034，p &lt; 0.001），这种保护作用在非 MPR 亚组中持续存在（HR = 0.10，p = 0.032）。</w:t>
      </w:r>
    </w:p>
    <w:p>
      <w:pPr>
        <w:pStyle w:val="Heading1"/>
      </w:pPr>
      <w:r>
        <w:t>结论</w:t>
      </w:r>
    </w:p>
    <w:p>
      <w:r>
        <w:t>这项研究表明，肿瘤负荷和空间免疫特征代表了治疗反应的独特但协同的维度，支持将人工智能支持的空间分辨数字病理生物标志物纳入新辅助免疫化疗后的术后风险评估和治疗决策中。</w:t>
      </w:r>
    </w:p>
    <w:p>
      <w:pPr>
        <w:pStyle w:val="Heading1"/>
      </w:pPr>
      <w:r>
        <w:t>关键词</w:t>
      </w:r>
    </w:p>
    <w:p>
      <w:r>
        <w:t>LUSC、AI病理学、残留活肿瘤、瘤周免疫细胞、新辅助免疫化疗、数字生物标志物、预后</w:t>
      </w:r>
    </w:p>
    <w:p>
      <w:pPr>
        <w:pStyle w:val="Heading1"/>
      </w:pPr>
      <w:r>
        <w:t>摘要</w:t>
      </w:r>
    </w:p>
    <w:p>
      <w:r>
        <w:t>新辅助化学免疫疗法改善了非小细胞肺癌的病理缓解率，但对于未达到病理完全缓解（非 pCR）的患者，预后评估仍然具有挑战性。传统的残留活肿瘤（RVT）评估是劳动密集型的，并且可能不足以捕获治疗引起的微环境变化。我们开发了一个多尺度人工智能 (AI) 病理学框架，使用全切片图像来量化肺鳞状细胞癌 (LUSC) 肿瘤边缘 500 μm 内的 RVT 瘤周免疫细胞密度。使用组内相关系数 (ICC) 评估 AI 衍生 RVT (AI-RVT) 和视觉 RVT (VIS-RVT) 之间的一致性，并评估无病生存 (DFS) 和总生存 (OS) 的预后意义。 AI-RVT 与 VIS-RVT 表现出高度一致 (ICC = 0.86-0.93)，并在非 pCR 亚组中提供了出色的 DFS 预测 (p = 0.040)。瘤周中性粒细胞密度升高成为独立的不良预后因素，与较短的 DFS（HR = 3.38，p = 0.013）和 OS（HR = 3.22，p = 0.020）相关。在没有重大病理反应的患者中，高中性粒细胞密度同样预示着较差的 DFS（HR = 3.66，p = 0.045），并且 OS 表现出一致的趋势（HR = 3.05，p = 0.095）。这些发现表明，将 AI 衍生的 RVT 量化与空间免疫分析相结合可以改善 LUSC 新辅助化学免疫治疗后的风险分层。瘤周中性粒细胞代表了超越传统病理指标的强大生物标志物，并支持将空间分辨的数字病理学特征纳入术后管理和决策中。</w:t>
      </w:r>
    </w:p>
    <w:p>
      <w:pPr>
        <w:pStyle w:val="Heading1"/>
      </w:pPr>
      <w:r>
        <w:t>关键词</w:t>
      </w:r>
    </w:p>
    <w:p>
      <w:r>
        <w:t>LUSC；人工智能病理学；残留的活肿瘤；瘤周免疫细胞；新辅助化学免疫治疗；预后</w:t>
      </w:r>
    </w:p>
    <w:p>
      <w:pPr>
        <w:pStyle w:val="Heading1"/>
      </w:pPr>
      <w:r>
        <w:t>引言（非结构化摘要对应正文）</w:t>
      </w:r>
    </w:p>
    <w:p>
      <w:r>
        <w:t>新辅助免疫化疗已成为可切除非小细胞肺癌 (NSCLC) 的标准治疗选择，在多项临床试验（例如 CheckMate-816 和 KEYNOTE-671）1-4 中，其病理缓解率明显高于单独化疗。尽管取得了这些进展，缓解评估和风险分层仍然具有挑战性，特别是对于未实现病理完全缓解（非 pCR）的患者。 CheckMate 816 长期结果显示，非 pCR 患者约占接受治疗患者的 75%，其 5 年总生存率仅为 55.7%，而 pCR 患者的 5 年总生存率为 95.3%，突显了这一主要群体的高风险性质。当前的病理评估框架，例如残留存活肿瘤（RVT），提供了重要的预后信息，但属于劳动密集型，并且容易受到观察者间差异的影响5-8。</w:t>
      </w:r>
    </w:p>
    <w:p>
      <w:r>
        <w:t>人们越来越认识到当前使用的基于 RVT 的二元阈值的局限性，例如非 pCR 的 RVT &gt;0% 和非主要病理反应 (non-MPR) 的 RVT &gt;10%。这些标准将连续的生物谱压缩为粗略的类别，削弱了预后辨别力，并可能掩盖治疗反应中具有临床意义的变化。新出现的证据进一步表明，将 RVT 建模为连续变量可以为捕获生存风险提供更高的灵敏度，这凸显了更精确和可重复的 RVT 量化的必要性。</w:t>
      </w:r>
    </w:p>
    <w:p>
      <w:r>
        <w:t>此外，仅关注肿瘤消退的基于 RVT 的指标并不能完全捕捉新辅助免疫化疗引起的复杂的免疫-肿瘤相互作用。肿瘤微环境（TME）特征提供了额外的预后信息。免疫浸润的丰度或模式，包括中性粒细胞、淋巴细胞和基质反应，与肺癌的治疗敏感性和生存相关9-12。先前的研究表明，富含淋巴细胞的“热”肿瘤与改善的免疫治疗反应相关9，而肿瘤相关的中性粒细胞则导致免疫逃避和不良预后10-12。然而，由于其劳动密集型性质和有限的重复性，这些微环境特征在病理实践中并未被常规量化，并且它们在新辅助免疫化疗环境中的预后相关性，特别是在肺鳞状细胞癌（LUSC）中，仍未得到充分定义。</w:t>
      </w:r>
    </w:p>
    <w:p>
      <w:r>
        <w:t>基于人工智能 (AI) 的数字病理学的最新进展使得能够对全切片图像 (WSI) 中的 RVT 和 TME 特征进行可重复、高通量的量化。 AI 衍生的 RVT 已证明与仅接受新辅助免疫治疗的患者的病理学家评估和预后价值高度一致13。然而，目前尚不清楚人工智能衍生的指标在新辅助免疫化疗（现在是主要的新辅助策略）的背景下是否保留预测效用，以及这些定量特征如何与淋巴结状态等关键临床变量相互作用。与此同时，越来越多的证据表明，TME 内肿瘤和基质免疫细胞的空间组成和组织可以使用基于深度学习的病理模型进行定量表征，并作为肺腺癌的独立预后因素14,15。值得注意的是，基于人工智能的全玻片分析仪能够识别癌症区域、间质和关键 TME 成分，包括肿瘤浸润淋巴细胞、成纤维细胞和内皮细胞，能够描绘 TKI 耐药后 EGFR 突变 NSCLC 的动态微环境变化，并预测随后对基于免疫疗法的治疗的反应16。这些发现强调了人工智能衍生的空间 TME 特征在告知免疫治疗反应方面具有更广泛的相关性，并促使它们整合到基于 RVT 的生存模型中，特别是对于非 pCR 人群。</w:t>
      </w:r>
    </w:p>
    <w:p>
      <w:r>
        <w:t>因此，利用国家癌症中心的两个队列（NCC_Cohort1和NCC_Cohort2）的数据集以及山西省肿瘤医院（SXCH）和深圳肿瘤医院（SZCH）的其他外部队列的数据集，我们开发了一个多尺度AI驱动的病理学框架，该框架可以同时量化接受新辅助免疫化疗治疗的LUSC WSI中的RVT瘤周免疫细胞密度。这种综合方法旨在加强术后风险分层，特别是非 pCR 患者，并为辅助治疗决策和临床监测提供更有生物学依据的基础。</w:t>
      </w:r>
    </w:p>
    <w:p>
      <w:pPr>
        <w:pStyle w:val="Heading1"/>
      </w:pPr>
      <w:r>
        <w:t>结果</w:t>
      </w:r>
    </w:p>
    <w:p>
      <w:r>
        <w:t>(2025-7-28修改)</w:t>
      </w:r>
    </w:p>
    <w:p>
      <w:r>
        <w:t>图2中的实验结果充分验证了多尺度架构设计的优势。在六个独立实验中，我们的方法在对四个代表性病理区域（例如肿瘤床和肿瘤）进行分类方面表现出比单尺度模型显着的性能改进。从数量上看，多尺度模型在 F1 分数、精确度和召回率方面分别实现了 47.2%、48.2% 和 53.3% 的平均相对改进（图 2）。这种显着的性能增强证实，多尺度特征融合有效克服了单分辨率分析下局部特征和全局背景之间脱节的限制，特别是对治疗引起的复杂组织改变（例如，与残留肿瘤混合的纤维化区域）表现出卓越的辨别能力。</w:t>
      </w:r>
    </w:p>
    <w:p>
      <w:r>
        <w:t>AI-RVT 在独立验证和测试队列中表现出与 VIS-RVT 的强烈一致性（2025-12-11 修改）</w:t>
      </w:r>
    </w:p>
    <w:p>
      <w:r>
        <w:t>Error 500 (Server Error)!!1500.That’s an error.There was an error. Please try again later.That’s all we know.</w:t>
      </w:r>
    </w:p>
    <w:p>
      <w:r>
        <w:t>在整个验证队列中，AI-RVT 在载玻片水平（ICC = 0.881，p = 1.08 × 10-64；图 3A）和患者水平（ICC = 0.861，p = 6.03 × 10-10；图 3B）上均显示出与 VIS-RVT 的高度一致性。病理学家注释（图 3C）和 AI 生成的分割图（图 3D）之间的代表性比较进一步说明了基于 AI 的检测的高保真度。在测试数据集中观察到类似的结果，载玻片水平的 ICC 为 0.861 (p = 6.96 × 10-273)（图 3E），患者水平的 ICC 为 0.931 (p = 1.05 × 10-38)（图 3F）。</w:t>
      </w:r>
    </w:p>
    <w:p>
      <w:r>
        <w:t>使用已建立的 MPR 分类 10% 截止值，AI-RVT 与 VIS-RVT 的一致性达到 95.2% (80/84)（图 3G）。四个不一致案例中的三个（t1、t3、t4）显示出接近截止值的值，反映了边界差异而不是系统误差。只有 Case_t2 显示出显着差异（VIS-RVT 22% 与 AI-RVT 8.56%），这归因于广泛的交织基质区域，这在视觉上使 RVT 估计变得复杂（图 3H）。这种异质性可能会使手动量化偏向于高估活肿瘤。</w:t>
      </w:r>
    </w:p>
    <w:p>
      <w:r>
        <w:t>图注：图 3. 使用 ICC 以及跨验证和独立测试数据集的一致性分析来评估模型性能。</w:t>
      </w:r>
    </w:p>
    <w:p>
      <w:r>
        <w:t>验证数据集 (SXCH) 中 VIS-RVT 和 AI-RVT 之间幻灯片级别 (A) 和患者级别 (B) 的 ICC 分析。带有病理学家注释的代表性图像 (C) 和相应的 AI 生成的组织分割图 (D)，显示肿瘤床（红色）、肿瘤区域（蓝色）和坏死区域（绿色）。独立测试数据集 (NCC_cohort2 + SZCH) 中的 AI 模型性能，显示载玻片级别 (E) 和患者级别 (F) 上 VIS-RVT 和 AI-RVT 之间的 ICC。 (G) 桑基图总结了 VIS-RVT 和 AI-RVT 分类之间病例级别的一致性，使用 10% 的截止值。列出了不一致案例 (t1-t4) 的示例，并显示了总体一致率。 (I) Case_t2 的高倍 H&amp;E 图像，显示了广泛交织的基质区域，这导致了 VIS-RVT 和 AI-RVT 之间观察到的差异。</w:t>
      </w:r>
    </w:p>
    <w:p>
      <w:r>
        <w:t>AI-RVT 和 VIS-RVT 在整体和非 pCR 队列中的预后相关性</w:t>
      </w:r>
    </w:p>
    <w:p>
      <w:r>
        <w:t>为了评估预后相关性，对 103 名患者的联合队列（NCC_cohort1、NCC_cohort2 和 SZCH）进行了无进展生存期 (PFS) 和总生存期 (OS) 分析。 VIS-RVT 和 AI-RVT 定义的 MPR 均显着分层了 DFS（VIS-RVT：p = 0.0011，图 4A；AI-RVT：p = 0.00095，图 4B）。而操作系统分层是有限的。 VIS-RVT 不能显着预测 OS（p = 0.33，图 4C），而 AI-RVT 显示出不显着的趋势（p = 0.084，图 4D）。</w:t>
      </w:r>
    </w:p>
    <w:p>
      <w:r>
        <w:t>在调整 ypN 状态的多变量 Cox 分析中，VIS-RVT 定义的和 AI-RVT 定义的 MPR 仍然与 DFS 改善独立相关（VIS-RVT：HR = 2.6，95% CI 1.09-6.20，p = 0.031；AI-RVT：HR = 2.7，95% CI 1.18-6.40，p = 0.019；图 2）。 4E-F）。 ypN 状态在任一模型中均未达到显着性。 VIS-RVT 和 AI-RVT 都无法预测多变量模型中的 OS（p &gt; 0.05；图 4G-H）。</w:t>
      </w:r>
    </w:p>
    <w:p>
      <w:r>
        <w:t>鉴于 pCR 是新辅助免疫化疗治疗 LUSC 长期良好预后的既定指标2，我们随后将分析重点放在非 pCR 亚组上，该亚组约占我们研究中合并队列的 75.7% (78/103)。 VIS-RVT 和 AI-RVT 均继续对 DFS 进行显着分层（VIS-RVT：p = 0.023，图 4I；AI-RVT：p = 0.021，图 4J），但对 OS 没有显着分层（p = 0.84 和 p = 0.34；图 4K-L）。在调整后的 Cox 模型中，AI-RVT 定义的非 MPR 状态仍然是较短 DFS 的独立预测因子（HR = 2.5，95% CI 1.04-6.0，p = 0.040；图 4N），而 VIS-RVT 显示出边界关联（HR = 2.3，p = 0.061；图 4M）。两种方法均未观察到显着的 OS 关联（图 4O-P）。</w:t>
      </w:r>
    </w:p>
    <w:p>
      <w:r>
        <w:t>为了减少在 10% 阈值下二分 RVT（MPR 与非 MPR）造成的信息丢失，进一步分析了连续 RVT 值。在整个队列中，连续 VIS-RVT 和 AI-RVT 均与较短的 DFS 独立相关（VIS-RVT：HR = 8.4，p = 0.009；AI-RVT：HR = 8.2，p = 0.022；补充图 1A-B），而这两个指标均未显示与 OS 显着相关（全部 p &gt; 0.05；补充图 1C-D）。在非 pCR 亚组中观察到类似的模式，其中连续 VIS-RVT 和 AI-RVT 仍然是 DFS 的显着预测因子（VIS-RVT：HR = 7.2，p = 0.018；AI-RVT：HR = 7.0，p = 0.037；补充图 1E-F），但不是 OS（所有 p &gt; 0.05；补充图 1G-H）。总的来说，这些发现表明，与基于二分法临界值的定义相比，连续 RVT 提供了更敏感和更定量的 DFS 风险标记，特别是在非 pCR 患者中。</w:t>
      </w:r>
    </w:p>
    <w:p>
      <w:r>
        <w:t>图注：图 4. 基于 AI 和视觉 RVT 评估在总体和非 pCR 人群中的预后价值。</w:t>
      </w:r>
    </w:p>
    <w:p>
      <w:r>
        <w:t>(A) Kaplan-Meier 生存曲线，比较整个患者队列 (n = 103) 中通过视觉 (VIS-RVT) 和基于 AI (AI-RVT) 的 RVT 评估定义的 MPR 组和非 MPR 组之间的 DFS 和 OS。 (E-H)根据淋巴结状态调整的相应多变量 Cox 比例风险模型（ypN0 与 ypN1-2）证实了 AI-RVT 和 VIS-RVT 对于 DFS 的独立预后价值。然而，这两种方法均未显示与 OS 显着相关。 (I-L) Kaplan-Meier 生存曲线仅限于非 pCR 亚组 (n = 78)，表明 VIS-RVT 和 AI-RVT 继续按 DFS 对患者进行显着分层，但不按 OS 对患者进行显着分层。 (M-P) 非 pCR 亚组中的多变量 Cox 模型显示，基于 AI-RVT 的非 MPR 状态与较差的 DFS 显着相关（HR = 2.5，p = 0.040），而 VIS-RVT 显示出边缘效应。使用任一方法在该亚组中均未观察到 OS 预测的显着风险比。</w:t>
      </w:r>
    </w:p>
    <w:p>
      <w:r>
        <w:t>补充图 1.整个队列和非 pCR 队列中 DFS 和 OS 的多变量分析。</w:t>
      </w:r>
    </w:p>
    <w:p>
      <w:r>
        <w:t>多变量 Cox 回归分析评估了 AI-RVT 和 VIS-RVT 对整个队列和非 pCR 亚组中 DFS 和 OS 的预后意义。所有模型均根据节点状态 (ypN) 进行调整。 A-D 组显示整个队列的结果，E-H 组显示非 pCR 人群中的相应分析。星号表示统计显着性（*p &lt; 0.05）。</w:t>
      </w:r>
    </w:p>
    <w:p>
      <w:r>
        <w:t>4. 空间分辨的免疫结构揭示了距离依赖性的预后效应</w:t>
      </w:r>
    </w:p>
    <w:p>
      <w:r>
        <w:t>为了研究肿瘤微环境的预后相关性是否表现出空间依赖性，我们首先开发了一种基于 H&amp;E 的人工智能模型，能够对主要免疫细胞群进行形态驱动的分类。使用该框架，我们系统地量化了预定采样区域内主要肿瘤病灶周围的免疫细胞分布，该采样区域延伸至约 700 μm 的最大可测量距离。</w:t>
      </w:r>
    </w:p>
    <w:p>
      <w:r>
        <w:t>细胞密度在 50 至 700 μm 的同心径向间隔内以 50 μm 增量计算。基于这些空间分辨密度分布，在距肿瘤病灶的距离不断增加的范围内进行 Cox 比例风险分析。引人注目的是，细胞成分和生存结果之间的关联表现出明显的空间异质性（图5A）。</w:t>
      </w:r>
    </w:p>
    <w:p>
      <w:r>
        <w:t>中性粒细胞和淋巴细胞表现出相对较强的预后效应，在较长距离内空间稳定，而其他免疫和基质群体则表现出仅限于较窄空间间隔的关联。这些发现激发了对中性粒细胞和淋巴细胞分布的集中分析。</w:t>
      </w:r>
    </w:p>
    <w:p>
      <w:r>
        <w:t>中性粒细胞在肿瘤近端生态位内表现出主要的不良预后相关性。 50μm以内的中性粒细胞密度升高与较差的无病生存率（DFS）（对数秩P = 0.007）（图5B）和总生存率（OS）（对数秩P = 0.01）（图5C）显着相关，而较远距离的中性粒细胞密度并未显示出一致的生存关联。相反，淋巴细胞表现出空间上不同的模式。虽然50μm内的淋巴细胞密度与DFS或OS无关，但700μm内的淋巴细胞密度增加与DFS（对数秩P = 0.019）（图5B）和OS（对数秩P = 0.029）改善（图5D）相关。</w:t>
      </w:r>
    </w:p>
    <w:p>
      <w:r>
        <w:t>这种空间差异支持分层免疫结构的存在，其中中性粒细胞优先促进肿瘤周围生态位内的预后效应，而淋巴细胞相关效应在扩展的空间尺度上变得更加明显。</w:t>
      </w:r>
    </w:p>
    <w:p>
      <w:r>
        <w:t>为了确定空间选择的细胞特征是否保留独立的预后意义，我们构建了包含临床病理学协变量的多变量 Cox 模型。对于DFS，50μm以内的中性粒细胞密度仍然与复发风险独立相关（HR = 3.57，P = 0.007），而700μm以内的淋巴细胞密度没有保留独立的显着性（图5E）。</w:t>
      </w:r>
    </w:p>
    <w:p>
      <w:r>
        <w:t>对于 OS，应用了 fith 校正的 Cox 回归。在该模型中，700μm内的淋巴细胞密度成为独立的保护因素（HR = 0.13，P = 0.022），而50μm内的中性粒细胞密度仍然与不良生存独立相关（HR = 6.2，P = 0.022）（图5F）。</w:t>
      </w:r>
    </w:p>
    <w:p>
      <w:r>
        <w:t>总之，这些分析表明，肿瘤微环境的预后影响强烈依赖于距离，先天免疫成分主导着肿瘤周围的微环境，而适应性免疫效应则在更大的空间尺度上出现。</w:t>
      </w:r>
    </w:p>
    <w:p>
      <w:r>
        <w:t>图注：图 5. 与生存结果相关的空间分辨免疫微环境特征。</w:t>
      </w:r>
    </w:p>
    <w:p>
      <w:r>
        <w:t>(A) Cox 比例风险分析的径向总结，显示了距肿瘤病灶空间距离的 DFS 的 HR。每个点代表在指定距离内测量的细胞密度的 HR。</w:t>
      </w:r>
    </w:p>
    <w:p>
      <w:r>
        <w:t>(B) 按代表性距离（50 μm 和 700 μm）内测量的高细胞密度与低细胞密度分层的 DFS 的 KM 曲线。中性粒细胞密度在 50 μm 以内与较差的 DFS 相关，而淋巴细胞密度在 700 μm 以内与改善的 DFS 相关。</w:t>
      </w:r>
    </w:p>
    <w:p>
      <w:r>
        <w:t>(C-D) 根据在 50 μm (C) 和 700 μm (D) 内测量的免疫和基质细胞密度得出的 OS KM 曲线。</w:t>
      </w:r>
    </w:p>
    <w:p>
      <w:r>
        <w:t>(E) DFS 的多变量 Cox 比例风险模型，结合了空间细胞特征（700 μm 以内的淋巴细胞，50 μm 以内的中性粒细胞）和临床病理学协变量（ypN 分期和 AI 衍生的残余肿瘤活力 [AI-RVT]）。森林图显示 HR 的置信区间 (CI) 为 95%。</w:t>
      </w:r>
    </w:p>
    <w:p>
      <w:r>
        <w:t>(F) 使用相同协变量的 OS 多变量 Firth 校正 Cox 回归模型。</w:t>
      </w:r>
    </w:p>
    <w:p>
      <w:r>
        <w:t>HR，风险比； CI，置信区间； DFS，无病生存； OS，总生存期； ypN，治疗后淋巴结阶段； AI-RVT，AI 衍生的残余肿瘤活力。</w:t>
      </w:r>
    </w:p>
    <w:p>
      <w:r>
        <w:t>5. 空间协调的淋巴细胞-中性粒细胞免疫表型对生存结果进行分层</w:t>
      </w:r>
    </w:p>
    <w:p>
      <w:r>
        <w:t>鉴于淋巴细胞和中性粒细胞在空间上不同的预后模式，我们接下来评估了它们协调的空间分布是否提供了额外的预后分辨率。根据700μm以内的淋巴细胞密度和50μm以内的中性粒细胞密度，将患者分为淋巴细胞-中性粒细胞协调（Lym+Neu）免疫表型（图6A）。</w:t>
      </w:r>
    </w:p>
    <w:p>
      <w:r>
        <w:t>在有残留肿瘤的患者中，Lym+Neu 表型表现出 DFS 的显着区别。与其他表型相比，中性粒细胞富集、淋巴细胞缺失的表型与较差的 DFS 相关（对数秩 P = 0.0036），在中性粒细胞缺失、淋巴细胞富集的表型中观察到最有利的结果（图 6B）。多变量Cox比例风险分析证实，在调整ypN分期和AI衍生的残余肿瘤活力（AI-RVT）后，与中性粒细胞缺失、淋巴细胞丰富的表型相比，中性粒细胞富集、淋巴细胞缺失的表型保留了与DFS独立的预后相关性（图6C）。</w:t>
      </w:r>
    </w:p>
    <w:p>
      <w:r>
        <w:t>在残留肿瘤亚组内观察到一致的 OS 生存分层。表现出中性粒细胞富集表型的患者的 OS 明显较差（对数秩 P = 0.0063）（图 6D）。 Firth 校正的 Cox 回归进一步证明，淋巴细胞耗尽、中性粒细胞富集的表型独立预测 OS (P = 0.00146)（图 6E）。</w:t>
      </w:r>
    </w:p>
    <w:p>
      <w:r>
        <w:t>接下来我们评估了 Lym+Neu 表型在非 MPR 状态患者中的预后意义。 DFS 也观察到类似的结果分离，淋巴细胞耗尽、中性粒细胞富集的表型与较差的 DFS 相关（对数秩 P = 0.011）（图 6F）。多变量分析证实了 Lym+Neu 表型对 DFS 的独立预后意义（P = 0.0093）（图 6G）。</w:t>
      </w:r>
    </w:p>
    <w:p>
      <w:r>
        <w:t>相比之下，在非 MPR 亚组中，Lym+Neu 表型之间没有观察到显着的 OS 差异（图 6H、I）。</w:t>
      </w:r>
    </w:p>
    <w:p>
      <w:r>
        <w:t>总之，这些发现表明，协调的空间淋巴细胞-中性粒细胞免疫表型提供了可重复的预后分层，并且瘤周免疫细胞组成传达了与传统病理参数互补的预后信息，特别是在有残留疾病的患者中。</w:t>
      </w:r>
    </w:p>
    <w:p>
      <w:r>
        <w:t>、、</w:t>
      </w:r>
    </w:p>
    <w:p>
      <w:r>
        <w:t>图注：图 6. 空间协调的淋巴细胞-中性粒细胞免疫表型和生存结果</w:t>
      </w:r>
    </w:p>
    <w:p>
      <w:r>
        <w:t>(A) 代表性 H&amp;E 图像，说明由 700 μm 内的淋巴细胞密度和 50 μm 内的中性粒细胞密度定义的空间免疫表型。</w:t>
      </w:r>
    </w:p>
    <w:p>
      <w:r>
        <w:t>(B) 残留肿瘤患者中按联合淋巴细胞-中性粒细胞 (Lym+Neu) 表型分层的 DFS 的 KM 曲线。</w:t>
      </w:r>
    </w:p>
    <w:p>
      <w:r>
        <w:t>(C) 残留肿瘤患者 DFS 的多变量 Cox 比例风险模型，结合了 Lym+Neu 表型、ypN 分期和 AI 衍生的残留肿瘤活力 (AI-RVT)。森林图显示 HR 的置信区间为 95%。</w:t>
      </w:r>
    </w:p>
    <w:p>
      <w:r>
        <w:t>(D) 根据残留肿瘤患者 Lym+Neu 表型的 OS KM 曲线。</w:t>
      </w:r>
    </w:p>
    <w:p>
      <w:r>
        <w:t>(E) 残留肿瘤患者 OS 的多变量 Firth 校正 Cox 回归模型。</w:t>
      </w:r>
    </w:p>
    <w:p>
      <w:r>
        <w:t>(F) 非 MPR 患者中按 Lym+Neu 表型分层的 DFS 的 KM 曲线。</w:t>
      </w:r>
    </w:p>
    <w:p>
      <w:r>
        <w:t>(G) 非 MPR 患者 DFS 的多变量 Cox 比例风险模型。</w:t>
      </w:r>
    </w:p>
    <w:p>
      <w:r>
        <w:t>(H) 根据非 MPR 患者 Lym+Neu 表型的 OS KM 曲线。</w:t>
      </w:r>
    </w:p>
    <w:p>
      <w:r>
        <w:t>(I) 非 MPR 患者 OS 的多变量 Firth 校正 Cox 回归模型。</w:t>
      </w:r>
    </w:p>
    <w:p>
      <w:pPr>
        <w:pStyle w:val="Heading1"/>
      </w:pPr>
      <w:r>
        <w:t>讨论</w:t>
      </w:r>
    </w:p>
    <w:p>
      <w:r>
        <w:t>本研究引入了一种人工智能病理学框架，该框架将定量 RVT 评估与空间分辨瘤周免疫分析相结合，以细化 LUSC 新辅助免疫化疗后的风险分层。通过将肿瘤负荷与空间免疫指标相结合，该框架增强了分析重现性，并与传统的视觉 RVT 评估相比提供了更好的预后辨别能力。这些结果支持人工智能衍生的肿瘤免疫分析的转化潜力，可为接受新辅助免疫化疗的患者提供术后管理信息。</w:t>
      </w:r>
    </w:p>
    <w:p>
      <w:r>
        <w:t>这项工作的主要优势是开发了多尺度深度学习架构，通过将高分辨率细胞特征与低分辨率组织背景相结合来模拟病理学家的解释过程。这种策略能够准确识别治疗改变的区域，包括具有混合残留肿瘤的纤维化肿瘤床，这是单分辨率方法经常表现不佳的区域。在独立队列中，AI-RVT 显示出与病理学家专家的高度一致性（ICC 0.86-0.93）以及 MPR 分类的高精度（95.2% 一致性），从而在多机构数据集中建立了其技术可靠性。</w:t>
      </w:r>
    </w:p>
    <w:p>
      <w:r>
        <w:t>重要的是，AI-RVT 的预后效用超出了病理学家的共识。尽管 AI-RVT 和 VIS-RVT 在整个队列中对 DFS 进行了分层，但在调整 ypN 状态后，AI-RVT 在临床关键非 pCR 人群中保留了独立显着性，而 VIS-RVT 则不然。此外，将 RVT 建模为连续变量大大增强了队列之间的预后关联，突显了以传统 10% MPR 截止值二分生物学连续测量的局限性。这些发现与新出现的证据相一致，即 RVT 反映了治疗反应的定量范围，并且二元阈值的信息丢失可能会掩盖具有临床意义的分级。总之，这些观察结果表明，连续 RVT 是 DFS 更敏感且具有生物学基础的预测因子，并且 AI 衍生的 RVT 提供了可靠且可重复的方法来在现实世界的临床工作流程中实施这一概念。</w:t>
      </w:r>
    </w:p>
    <w:p>
      <w:r>
        <w:t>尽管 RVT 可以有效预测 DFS，但它并不能显着对 OS 进行分层，这表明肿瘤负荷本身并不能完全反映与长期生存相关的生物学特性。结合瘤周免疫特征揭示了互补的预后信号。这项研究的一个关键概念进展是证明免疫预后效应表现出空间依赖性。与 TME 生物学的既定原理一致9-12，包括富含淋巴细胞的“热”肿瘤的有利影响和肿瘤相关中性粒细胞的不利影响，中性粒细胞和淋巴细胞表现出不同的距离依赖性预后模式，中性粒细胞相关的不利影响集中在肿瘤近端生态位内，而淋巴细胞相关的保护作用主要出现在扩展的空间尺度上。这些发现支持空间免疫分层模型，表明免疫环境通过分区的生物机制发挥作用。</w:t>
      </w:r>
    </w:p>
    <w:p>
      <w:r>
        <w:t>整合淋巴细胞和中性粒细胞分布进一步描绘了具有不同预后意义的协调空间免疫表型。值得注意的是，以扩大空间尺度上的淋巴细胞耗竭以及肿瘤近端区域内的中性粒细胞富集为特征的表型表现出最不利的临床轨迹。这种免疫配置始终与残留肿瘤患者的较差 DFS 和 OS 相关，并且同样导致非 MPR 人群中最差的 DFS。靠近肿瘤的中性粒细胞富集可能代表了高风险的炎症侵袭生态位。与先前对肺腺癌的空间分析一致，肿瘤近端生态位内的中性粒细胞富集与较远的肿瘤周围区域的不良后果相关17,18。这些结果支持中性粒细胞介导的肿瘤促进机制主要通过短程相互作用发挥作用，例如 NET 相关效应18。相比之下，淋巴细胞密度主要在扩展的空间尺度上变得具有预后信息。扩大空间尺度可以分辨率更高阶的免疫组织，包括三级淋巴结构19，从而捕获更忠实地反映宿主免疫能力和持续抗肿瘤监测9,20的免疫环境。</w:t>
      </w:r>
    </w:p>
    <w:p>
      <w:r>
        <w:t>重要的是，RVT 和瘤周免疫特征对预后的不同贡献似乎反映了分阶段的生物学框架。 AI 衍生的 RVT 充当初始反应分类器，能够可靠地识别具有 pCR 状态且表现出异常良好结果的患者21。对于残留肿瘤的患者，RVT 进一步提供肿瘤位点的精确定位，为随后的瘤周免疫分析建立重要的空间参考。这种关系凸显了 RVT 既是治疗反应强度的定量指标，也是免疫微环境询问的关键空间锚点。</w:t>
      </w:r>
    </w:p>
    <w:p>
      <w:r>
        <w:t>这项研究有几个局限性。首先，其回顾性设计可能会引入选择偏差，而前瞻性、多中心验证对于建立普遍性至关重要。其次，瘤周免疫特征源自每张载玻片最大的肿瘤病灶；尽管这捕获了主要的肿瘤周围环境，但多个肿瘤病灶之间的区域异质性可能无法完全体现。第三，虽然对 H&amp;E WSI 进行了分析以增强临床可行性，但未来通过详细的免疫细胞亚分类（包括 T 和 B 淋巴细胞的分离）进行细化，可能会进一步提高生物学可解释性和模型性能。</w:t>
      </w:r>
    </w:p>
    <w:p>
      <w:r>
        <w:t>总之，本研究建立了一个人工智能驱动的多尺度病理学框架，将定量 RVT 测量与瘤周免疫分析相结合，以改善 LUSC 新辅助化学免疫治疗后的风险分层。瘤周淋巴细胞密度成为残留病患者 OS 的可靠且独立的预测因子，提供了传统病理指标之外的预后信息。这些发现支持将空间分辨数字病理生物标志物纳入术后决策，并为前瞻性临床验证和未来治疗转化奠定基础。</w:t>
      </w:r>
    </w:p>
    <w:p>
      <w:r>
        <w:t>参考</w:t>
      </w:r>
    </w:p>
    <w:p>
      <w:r>
        <w:t>1.Forde, P.M. 等人。可切除肺癌的新辅助纳武单抗联合化疗。新英格兰医学杂志 386，1973-1985（2022）。</w:t>
      </w:r>
    </w:p>
    <w:p>
      <w:r>
        <w:t>2. Forde, P.M. 等人。新辅助纳武单抗联合化疗治疗肺癌的总体生存率。新英格兰医学杂志（2025）。</w:t>
      </w:r>
    </w:p>
    <w:p>
      <w:r>
        <w:t>3. J.D.斯派塞等人。新辅助派姆单抗联合化疗后辅助派姆单抗与早期非小细胞肺癌患者单独新辅助化疗的比较 (KEYNOTE-671)：一项随机、双盲、安慰剂对照 3 期试验。柳叶刀 404, 1240-1252 (2024)。</w:t>
      </w:r>
    </w:p>
    <w:p>
      <w:r>
        <w:t>4. Deutsch, J.S. 等人。肺癌新辅助治疗后病理反应与生存之间的关联。 《自然医学》30, 218-228 (2024)。</w:t>
      </w:r>
    </w:p>
    <w:p>
      <w:r>
        <w:t>5. Saqi, A. 等人。评估切除肺癌的病理反应：当前标准、新型病理反应计算器工具的提案以及实践中的挑战。 JTO 临床和研究报告 3, 100310 (2022)。</w:t>
      </w:r>
    </w:p>
    <w:p>
      <w:r>
        <w:t>6. Weissferdt, A. 等人。新辅助治疗后肺癌切除标本的病理处理。 Mod Pathol 37, 100353 (2024)。</w:t>
      </w:r>
    </w:p>
    <w:p>
      <w:r>
        <w:t>7.Dacic，S.，等人。国际肺癌研究协会新辅助治疗后切除肺癌病理反应评估重现性的研究。胸部肿瘤学杂志：国际肺癌研究协会官方出版物 18, 1290-1302 (2023)。</w:t>
      </w:r>
    </w:p>
    <w:p>
      <w:r>
        <w:t>8. Ling，Y.，等人。原发性鳞状肺癌和区域淋巴结对新辅助抗 PD-1 的不同病理反应。 NPJ 精准肿瘤学 4, 32 (2020)。</w:t>
      </w:r>
    </w:p>
    <w:p>
      <w:r>
        <w:t>9. 吴斌，张斌，李斌，吴红，姜明。冷热肿瘤：从分子机制到靶向治疗。信号转导目标 Ther 9, 274 (2024)。</w:t>
      </w:r>
    </w:p>
    <w:p>
      <w:r>
        <w:t>10. Teijeira, A. 等人。 IL8、中性粒细胞和 NET 共谋对抗癌症免疫和免疫治疗。临床癌症研究：美国癌症研究协会官方期刊 27, 2383-2393 (2021)。</w:t>
      </w:r>
    </w:p>
    <w:p>
      <w:r>
        <w:t>11. 苗 S.、罗德里格斯 B.L. ＆吉本斯，D.L.免疫检查点抑制剂时代中性粒细胞在 NSCLC 中的多方面作用。癌症（巴塞尔）16（2024）。</w:t>
      </w:r>
    </w:p>
    <w:p>
      <w:r>
        <w:t>12. Hu, S., Yan, C., Tian, Y. &amp; Sun, W. 非小细胞肺癌中的中性粒细胞和 PD-1/PD-L1 抑制剂的免疫治疗。翻译医学杂志 23, 1313 (2025)。</w:t>
      </w:r>
    </w:p>
    <w:p>
      <w:r>
        <w:t>13.Dacic，S.，等人。人工智能驱动的 NSCLC 患者对新辅助 Atezolizumab 病理反应的评估：LCMC3 研究的结果。胸部肿瘤学杂志：国际肺癌研究协会官方出版物 19, 719-731 (2024)。</w:t>
      </w:r>
    </w:p>
    <w:p>
      <w:r>
        <w:t>14. Wang, S. 等人。病理图像的计算染色研究肺癌的肿瘤微环境。癌症研究 80，2056-2066 (2020)。</w:t>
      </w:r>
    </w:p>
    <w:p>
      <w:r>
        <w:t>15. Wang, S.，等人。 ConvPath：卷积神经网络辅助的肺腺癌数字病理图像分析软件工具。 EBioMedicine 50, 103-110 (2019)。</w:t>
      </w:r>
    </w:p>
    <w:p>
      <w:r>
        <w:t>16. Bang，Y.H. 等人。对 EGFR 酪氨酸激酶抑制剂获得性耐药的非小细胞肺癌患者的肿瘤微环境进行人工智能驱动的空间分析。 J 免疫疗法癌症杂志 13（2025）。</w:t>
      </w:r>
    </w:p>
    <w:p>
      <w:r>
        <w:t>17. Parra, E.R. 等人。免疫细胞分布模式影响非小细胞肺癌患者的预后。自然通讯 14, 2364 (2023)。</w:t>
      </w:r>
    </w:p>
    <w:p>
      <w:r>
        <w:t>18. Zhou, Y., Shen, G., Zhou, X. &amp; Li, J. 肿瘤相关中性粒细胞的治疗潜力：双重作用和表型可塑性。信号转导目标 Ther 10, 178 (2025)。</w:t>
      </w:r>
    </w:p>
    <w:p>
      <w:r>
        <w:t>19. Teillaud, J.L.、Houel, A.、Panouillot, M.、Riffard, C. 和 Dieu-Nosjean, M.C.抗癌免疫中的三级淋巴结构。自然评论。癌症 24, 629-646 (2024)。</w:t>
      </w:r>
    </w:p>
    <w:p>
      <w:r>
        <w:t>20. Petroni, G.、Pillozzi, S. 和 Antonuzzo, L. 利用三级淋巴结构来刺激抗肿瘤免疫并提高免疫治疗功效。癌症研究 84, 1199-1209 (2024)。</w:t>
      </w:r>
    </w:p>
    <w:p>
      <w:r>
        <w:t>21. Weng, Z. 等人。 GrandQC：数字病理质量控制问题的综合解决方案。自然通讯 15, 10685 (2024)。</w:t>
      </w:r>
    </w:p>
    <w:p>
      <w:r>
        <w:t>22. Vahadane, A. 等人。组织学图像的结构保留颜色归一化和稀疏染色分离。 IEEE 医学成像交易 35，1962-1971 (2016)。</w:t>
      </w:r>
    </w:p>
    <w:p>
      <w:r>
        <w:t>23.李，D.D. &amp; Seung, H.S.通过非负矩阵分解来学习对象的各个部分。自然 401, 788-791 (1999)。</w:t>
      </w:r>
    </w:p>
    <w:p>
      <w:r>
        <w:t>24. He, K.、Gkioxari, G.、Dollár, P. 和 Girshick, R. Mask R-CNN。 2017年IEEE计算机视觉国际会议（ICCV）2980-2988（2017）。</w:t>
      </w:r>
    </w:p>
    <w:p>
      <w:r>
        <w:t>25. 何凯、张旭、任胜和孙静。图像识别的深度残差学习。 2016 年 IEEE 计算机视觉和模式识别会议 (CVPR) 770-778 (2016)。</w:t>
      </w:r>
    </w:p>
    <w:p>
      <w:r>
        <w:t>26. 邓 J. 等人。 ImageNet：大规模分层图像数据库。 2009 年 IEEE 计算机视觉和模式识别会议 248-255 (2009)。</w:t>
      </w:r>
    </w:p>
    <w:p>
      <w:r>
        <w:t>27. Goutte, C. 和 Gaussier, E. 精确率、召回率和 F 分数的概率解释，以及对评估的影响，(2005)。</w:t>
      </w:r>
    </w:p>
    <w:p>
      <w:pPr>
        <w:pStyle w:val="Heading1"/>
      </w:pPr>
      <w:r>
        <w:t>方法</w:t>
      </w:r>
    </w:p>
    <w:p>
      <w:r>
        <w:t>研究设计（2025-7-28修改）</w:t>
      </w:r>
    </w:p>
    <w:p>
      <w:r>
        <w:t>研究人群由三个独立的数据集组成，旨在评估基于 AI 的多尺度算法的性能和预后价值，该算法用于量化新辅助免疫化疗后 LUSC 标本中的 RVT（图 1）。</w:t>
      </w:r>
    </w:p>
    <w:p>
      <w:r>
        <w:t>训练数据集 (NCC_Cohort1) 由来自国家癌症中心 (NCC) 治疗的 20 名患者的 251 张病理学家注释的全幻灯片图像 (WSI) 组成。这些 WSI 被手动分割以描绘肿瘤、坏死和基质区域，为基于 AI 的 RVT (AI-RVT) 预测模型的监督训练提供高质量的注释。在山西省肿瘤医院 (SXCH) 的外部数据集上进行了验证，其中包括来自 28 个 LUSC 病例的 192 个 WSI。这一验证步骤使得能够独立评估模型的性能及其与经验丰富的病理学家在载玻片和患者层面提供的视觉 RVT (VIS-RVT) 估计的一致性。计算类间相关系数 (ICC) 以评估人工智能生成的 RVT 与人类评估之间的一致性。</w:t>
      </w:r>
    </w:p>
    <w:p>
      <w:r>
        <w:t>为了进一步研究预后意义，最终确定的基于 AI 的 RVT 方法应用于由 103 名 LUSC 患者组成的测试队列（20 名来自 NCC_Cohort1，51 名来自 NCC_Cohort2，32 名来自深圳肿瘤医院 (SZCH)）。该测试数据集涵盖了广泛的组织病理学亚型、肿瘤消退等级和临床结果，从而提供了一个强大的平台来评估 RVT 对长期生存结果（包括无病生存 (DFS) 和总生存 (OS)）的预测能力。</w:t>
      </w:r>
    </w:p>
    <w:p>
      <w:r>
        <w:t>集成了一个称为细胞检测器的附加分析模块来表征肿瘤微环境 (TME)。该组件采用基于人工智能的细胞分割和分类算法来检测基质免疫细胞群。对每张载玻片的肿瘤边界周围的免疫细胞密度进行量化，然后汇总到患者水平，以探索其预后意义。</w:t>
      </w:r>
    </w:p>
    <w:p>
      <w:r>
        <w:t>RVT 评估和基质免疫细胞密度分析的整合可以对新辅助免疫化疗后的肿瘤反应和微环境重塑进行全面评估。随后将组合指标纳入多元 Cox 比例风险模型中，以评估其对 DFS 和 OS 的独立和协同影响。</w:t>
      </w:r>
    </w:p>
    <w:p>
      <w:r>
        <w:t>图注：图 1. 研究设计 使用三个独立队列来评估基于 AI 的多尺度算法的性能和预后价值，该算法用于肺鳞状细胞癌 (LUSC) 新辅助免疫化疗后残留活肿瘤 (RVT) 评估。该模型在来自 20 名患者 (NCC_Cohort1) 的 251 个带注释的全幻灯片图像 (WSI) 上进行了训练，并使用来自 28 名患者 (SXCH) 的 192 个 WSI 进行了验证，以评估幻灯片和患者水平上与视觉 RVT 估计的一致性。最终模型应用于 103 名患者（20 名来自 NCC_Cohort1、51 名来自 NCC_Cohort2、32 名来自 SZCH）的测试集，以评估其预后意义。采用基于人工智能的细胞检测器来量化肿瘤边界周围的基质免疫细胞密度。将 RVT 和基质免疫细胞指标组合纳入生存模型中，以评估它们对 DFS 和 OS 的影响。</w:t>
      </w:r>
    </w:p>
    <w:p>
      <w:r>
        <w:t>数据预处理</w:t>
      </w:r>
    </w:p>
    <w:p>
      <w:r>
        <w:t>在这项研究中，我们开发了一个计算机辅助解释整个幻灯片图像（WSI）的工作流程，以评估新辅助免疫化疗的反应和预后。 WSI 数据集包含四个不同的病理区域：肿瘤床、肿瘤组织、坏死组织和正常区域。每个区域使用一系列由坐标表示的闭合多边形来描绘。在阅读过程中，我们使用Polygon（https://pypi.org/project/polygon/）提供的多边形提取模块提取注释。</w:t>
      </w:r>
    </w:p>
    <w:p>
      <w:r>
        <w:t>首先，我们重新缩放图像以对应 20 倍放大倍数（0.5 μm/像素），以标准化图像分辨率。然后，我们将处理后的 WSI 分割成不重叠的 224×224 像素图块，以避免相邻区域出现冗余。对于每个图块，我们应用灰度检测算法来排除空白区域。具体来说，图块被转换为灰度，如果亮度范围低于动态范围的 35%，图块将因包含大量不相关或空白区域而被丢弃。经过初步筛选，我们使用 Polygon 库计算剩余图块中每个病理区域的比例。超过 60% 的特定病理类别的图块被分配给该类别，而那些不符合标准的图块被丢弃，以确保模型专注于特定的病理区域。</w:t>
      </w:r>
    </w:p>
    <w:p>
      <w:r>
        <w:t>该工作流程在由 6 个 Intel Core i5-9400 处理器组成的计算平台上实现，利用具有 16 个进程池的多处理策略来提高效率。按照此过程，我们获得了 975,359 个图块用于后续模型训练。此外，我们应用染色归一化技术来解释实验室染色方案的可变性，这可能会在处理染色图像时引入偏差。我们采用 Vahadane 方法进行染色归一化22，其中使用非负矩阵分解 (NMF)23 将图像分解为染色浓度和颜色基础矩阵。参考图像的颜色基础与目标图像的颜色基础一致，并且重建图像以确保不同 WSI 的染色效果一致。</w:t>
      </w:r>
    </w:p>
    <w:p>
      <w:r>
        <w:t>图注：图 2. 计算机辅助解释整个幻灯片图像的工作流程 (A) 病理学家用于 WSI 分析的多尺度工作流程，涉及器官、组织学和细胞水平评估，以识别可疑区域并评估疾病进展。 (B) 模拟临床推理的计算病理学工作流程：提取并预处理图块以去除背景区域，然后训练多尺度分类器以进行综合病理分析，并在肿瘤床区域训练细胞计数检测器以预测测试数据集中的细胞负荷。</w:t>
      </w:r>
    </w:p>
    <w:p>
      <w:r>
        <w:t>(C) 多尺度模型训练流程：特定于尺度的分类器在相应放大倍数的带注释图块上进行训练，较高放大倍数的图块源自较低放大倍数的父区域，以确保尺度间的一致性。</w:t>
      </w:r>
    </w:p>
    <w:p>
      <w:r>
        <w:t>(D) 推理工作流程：诊断结果是通过所有尺度输出的面积加权融合生成的，整合局部（细胞）和全局（建筑）特征。</w:t>
      </w:r>
    </w:p>
    <w:p>
      <w:r>
        <w:t>3. AI模型设计与训练</w:t>
      </w:r>
    </w:p>
    <w:p>
      <w:r>
        <w:t>我们的人工智能模型设计模拟了病理学家的“放大、缩小”范式（图 2a），整体工作流程如图 2b 所示。在现实世界的诊断场景中，在确定病理区域的类别时考虑周围组织的特征至关重要。为此，我们开发了一个多尺度分类器，集成了不同尺度的预测。该设计利用来自局部图块及其周围环境的信息来提高分类准确性，同时捕获组织和细胞水平的组织病理学异常。本研究利用来自 20 名患者的 251 张全玻片图像 (WSI) 作为训练集来训练分类器。特征提取主干采用 ResNet-101，其深度残差架构通过跳跃连接有效减轻深度网络中的梯度消失。</w:t>
      </w:r>
    </w:p>
    <w:p>
      <w:r>
        <w:t>如图2c所示，为了保证多尺度分类器训练的协调稳定性，我们设计了一种基于感受野扩展的训练样本生成策略：以最小尺度瓦片为中心，逐步扩展相邻区域来生成更大尺度的训练样本，从而保持多尺度特征对齐的空间连续性。这种构建方法不仅保证了个体分类器的训练稳定性，而且通过尺度间的拓扑相关性增强了模型对组织异质性的表征能力。</w:t>
      </w:r>
    </w:p>
    <w:p>
      <w:r>
        <w:t>我们在准备好的图块数据集上对分类器进行了广泛的训练，以适应我们的任务。预训练的模型权重是从存储库中获得的（GitHub - yuyang-huang/keras-inception-resnet-v2）。我们使用 SGD 作为优化器，基础学习率为 1e-4，并采用权重衰减和动量来优化收敛过程。我们使用分类交叉熵作为损失函数，这通常应用于多类分类任务。考虑到计算资源和模型性能之间的平衡，我们将训练batch size设置为4。</w:t>
      </w:r>
    </w:p>
    <w:p>
      <w:r>
        <w:t>由于数据集中的肿瘤区域相对稀少，因此从数据集直接生成的图块中存在类别不平衡。如果没有校正采样，模型将很难了解肿瘤区域的特征。为了解决这个问题，我们引入了类别权重来提高代表性不足的类别的采样率，确保训练数据集的平衡。</w:t>
      </w:r>
    </w:p>
    <w:p>
      <w:r>
        <w:t>4 推论与应用</w:t>
      </w:r>
    </w:p>
    <w:p>
      <w:r>
        <w:t>在推理过程中（图 2d），首先使用与训练期间相同的网格方法将 WSI 分成图块，并排除空白区域。接下来，使用分类器对图块进行分类。对于每个图块，模型通过集成多尺度分类器的预测来生成最终诊断输出。具体来说，根据每个量表分类器对应的病理区域的面积比例进行面积加权融合，最终计算出RVT百分比得分。这种融合策略通过模拟病理学家的诊断决策过程，将宏观组织结构与微观细胞特征相结合，显着提高了评估结果的生物学合理性。</w:t>
      </w:r>
    </w:p>
    <w:p>
      <w:r>
        <w:t>分类结果在 WSI 缩略图中可视化为彩色像素，其中每个像素代表一个小图块。</w:t>
      </w:r>
    </w:p>
    <w:p>
      <w:r>
        <w:t>5. AI模型的性能评估</w:t>
      </w:r>
    </w:p>
    <w:p>
      <w:r>
        <w:t>每种情况的 RVT 值是通过对所有可用载玻片的 RVT 百分比进行平均而得出的。为了评估 AI 衍生的 RVT 测量的可靠性，计算了 ICC 以评估不同评估方法之间的一致性。无进展生存期（PFS）和总生存期（OS）被用作临床终点。使用 Kaplan-Meier 分析和对数秩检验检查单变量生存关联，同时使用 Cox 比例风险模型评估多变量效应。</w:t>
      </w:r>
    </w:p>
    <w:p>
      <w:r>
        <w:t>所有统计分析均使用 R 软件（版本 3.6.0，可访问 https://www.r-project.org/）进行，确保分析过程中方法的严谨性和可重复性。</w:t>
      </w:r>
    </w:p>
    <w:p>
      <w:pPr>
        <w:pStyle w:val="Heading1"/>
      </w:pPr>
      <w:r>
        <w:t>图表与图中文字整理建议</w:t>
      </w:r>
    </w:p>
    <w:p>
      <w:r>
        <w:t>lung_image7.jpeg：总体流程图，可译为“AI 数字病理分析总体流程”。</w:t>
      </w:r>
    </w:p>
    <w:p>
      <w:r>
        <w:t>lung_image1.png：总体统计结果图，可译为“AI-RVT 与 VIS-RVT 的一致性及总体比较结果”。</w:t>
      </w:r>
    </w:p>
    <w:p>
      <w:r>
        <w:t>lung_image3.jpeg：分组比较图，可译为“不同病理缓解分组的数字病理指标差异”。</w:t>
      </w:r>
    </w:p>
    <w:p>
      <w:r>
        <w:t>lung_image5.jpeg：生存分析图，可译为“数字病理指标与无病生存/总生存的关系”。</w:t>
      </w:r>
    </w:p>
    <w:p>
      <w:r>
        <w:t>lung_image6.jpeg：亚组或补充生存分析图，可译为“不同亚组中的预后分层结果”。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