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32"/>
          <w:szCs w:val="32"/>
        </w:rPr>
      </w:pPr>
      <w:r w:rsidRPr="005E0F6A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 xml:space="preserve">Getting Started: </w:t>
      </w:r>
      <w:r w:rsidR="008738A1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>Model Reference Adaptive Control of Satellite Orientation</w:t>
      </w:r>
    </w:p>
    <w:p w:rsidR="00827E4B" w:rsidRPr="00704361" w:rsidRDefault="00E17AE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Th</w:t>
      </w:r>
      <w:r w:rsidR="00704361">
        <w:rPr>
          <w:rFonts w:ascii="Garamond" w:eastAsia="Times New Roman" w:hAnsi="Garamond" w:cs="Times New Roman"/>
          <w:color w:val="000000"/>
          <w:sz w:val="24"/>
          <w:szCs w:val="24"/>
        </w:rPr>
        <w:t xml:space="preserve">is GUI displays a visualization of adaptive control in stabilizing a satellite’s orientation. </w:t>
      </w:r>
    </w:p>
    <w:p w:rsidR="00827E4B" w:rsidRPr="00EF148A" w:rsidRDefault="00EF148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Controlling the attitude </w:t>
      </w: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>of a satellite is an important part of ensuring that it can receive signals from the ground and transmit effectively.</w:t>
      </w:r>
    </w:p>
    <w:p w:rsidR="00827E4B" w:rsidRPr="00EF148A" w:rsidRDefault="00827E4B" w:rsidP="002B2F7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bookmarkStart w:id="0" w:name="_GoBack"/>
      <w:bookmarkEnd w:id="0"/>
    </w:p>
    <w:p w:rsidR="00EF148A" w:rsidRPr="00EF148A" w:rsidRDefault="00EF148A" w:rsidP="002B2F7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F148A">
        <w:rPr>
          <w:rFonts w:ascii="Garamond" w:eastAsia="Times New Roman" w:hAnsi="Garamond" w:cs="Times New Roman"/>
          <w:sz w:val="24"/>
          <w:szCs w:val="24"/>
        </w:rPr>
        <w:t xml:space="preserve">The GUI utilizes a simple model for the motion of a satellite: </w:t>
      </w:r>
    </w:p>
    <w:p w:rsidR="00EF148A" w:rsidRPr="00EF148A" w:rsidRDefault="00A648C3" w:rsidP="002B2F78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=u</m:t>
          </m:r>
        </m:oMath>
      </m:oMathPara>
    </w:p>
    <w:p w:rsidR="00EF148A" w:rsidRPr="00B808CA" w:rsidRDefault="00EF148A" w:rsidP="002B2F78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 w:rsidRPr="00EF148A">
        <w:rPr>
          <w:rFonts w:ascii="Garamond" w:eastAsia="Times New Roman" w:hAnsi="Garamond" w:cs="Times New Roman"/>
          <w:sz w:val="24"/>
          <w:szCs w:val="24"/>
        </w:rPr>
        <w:t>where</w:t>
      </w:r>
      <w:r w:rsidRPr="00EF148A">
        <w:rPr>
          <w:rFonts w:ascii="Garamond" w:hAnsi="Garamond"/>
          <w:sz w:val="24"/>
          <w:szCs w:val="24"/>
        </w:rPr>
        <w:t xml:space="preserve"> :</w:t>
      </w:r>
      <w:proofErr w:type="gramEnd"/>
      <w:r w:rsidRPr="00EF148A">
        <w:rPr>
          <w:rFonts w:ascii="Garamond" w:hAnsi="Garamond"/>
          <w:sz w:val="24"/>
          <w:szCs w:val="24"/>
        </w:rPr>
        <w:t xml:space="preserve"> θ represents the satellite attitude angle,</w:t>
      </w:r>
      <w:r w:rsidRPr="00EF148A">
        <w:rPr>
          <w:rFonts w:ascii="Garamond" w:hAnsi="Garamond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0.9pt" o:ole="">
            <v:imagedata r:id="rId4" o:title=""/>
          </v:shape>
          <o:OLEObject Type="Embed" ProgID="Equation.DSMT4" ShapeID="_x0000_i1025" DrawAspect="Content" ObjectID="_1480294221" r:id="rId5"/>
        </w:object>
      </w:r>
      <w:r w:rsidRPr="00EF148A">
        <w:rPr>
          <w:rFonts w:ascii="Garamond" w:hAnsi="Garamond"/>
          <w:sz w:val="24"/>
          <w:szCs w:val="24"/>
        </w:rPr>
        <w:t xml:space="preserve">is the control input (a net torque on the satellite), and </w:t>
      </w:r>
      <w:r w:rsidRPr="00EF148A">
        <w:rPr>
          <w:rFonts w:ascii="Garamond" w:hAnsi="Garamond"/>
          <w:i/>
          <w:iCs/>
          <w:sz w:val="24"/>
          <w:szCs w:val="24"/>
        </w:rPr>
        <w:t>J</w:t>
      </w:r>
      <w:r w:rsidRPr="00EF148A">
        <w:rPr>
          <w:rFonts w:ascii="Garamond" w:hAnsi="Garamond"/>
          <w:iCs/>
          <w:sz w:val="24"/>
          <w:szCs w:val="24"/>
        </w:rPr>
        <w:t xml:space="preserve"> is</w:t>
      </w:r>
      <w:r w:rsidRPr="00EF148A">
        <w:rPr>
          <w:rFonts w:ascii="Garamond" w:hAnsi="Garamond"/>
          <w:sz w:val="24"/>
          <w:szCs w:val="24"/>
        </w:rPr>
        <w:t xml:space="preserve"> the satellite’s moment of inertia about its center of mass.</w:t>
      </w:r>
      <w:r w:rsidR="00A648C3">
        <w:rPr>
          <w:rFonts w:ascii="Garamond" w:hAnsi="Garamond"/>
          <w:sz w:val="24"/>
          <w:szCs w:val="24"/>
        </w:rPr>
        <w:t xml:space="preserve"> The interesting part of this model is that </w:t>
      </w:r>
      <w:r w:rsidR="00A648C3">
        <w:rPr>
          <w:rFonts w:ascii="Garamond" w:hAnsi="Garamond"/>
          <w:i/>
          <w:sz w:val="24"/>
          <w:szCs w:val="24"/>
        </w:rPr>
        <w:t>J</w:t>
      </w:r>
      <w:r w:rsidR="00A648C3">
        <w:rPr>
          <w:rFonts w:ascii="Garamond" w:hAnsi="Garamond"/>
          <w:sz w:val="24"/>
          <w:szCs w:val="24"/>
        </w:rPr>
        <w:t xml:space="preserve"> is an unknown quantity – the controller isn’t armed with explicit knowledge of the satellite’s moment of inertia. Therefore, an adaptive </w:t>
      </w:r>
      <w:r w:rsidR="004F0599">
        <w:rPr>
          <w:rFonts w:ascii="Garamond" w:hAnsi="Garamond"/>
          <w:sz w:val="24"/>
          <w:szCs w:val="24"/>
        </w:rPr>
        <w:t xml:space="preserve">PD </w:t>
      </w:r>
      <w:r w:rsidR="00A648C3">
        <w:rPr>
          <w:rFonts w:ascii="Garamond" w:hAnsi="Garamond"/>
          <w:sz w:val="24"/>
          <w:szCs w:val="24"/>
        </w:rPr>
        <w:t>controller is used to adjust the satellite’s response to input signals.</w:t>
      </w:r>
      <w:r w:rsidR="00C15223">
        <w:rPr>
          <w:rFonts w:ascii="Garamond" w:hAnsi="Garamond"/>
          <w:sz w:val="24"/>
          <w:szCs w:val="24"/>
        </w:rPr>
        <w:t xml:space="preserve"> The controller includes a “reference model,” which simulates the ideal response of the satellite to the reference input. The controller then adjusts i</w:t>
      </w:r>
      <w:r w:rsidR="009754CD">
        <w:rPr>
          <w:rFonts w:ascii="Garamond" w:hAnsi="Garamond"/>
          <w:sz w:val="24"/>
          <w:szCs w:val="24"/>
        </w:rPr>
        <w:t>t</w:t>
      </w:r>
      <w:r w:rsidR="00C15223">
        <w:rPr>
          <w:rFonts w:ascii="Garamond" w:hAnsi="Garamond"/>
          <w:sz w:val="24"/>
          <w:szCs w:val="24"/>
        </w:rPr>
        <w:t>s proportional gain, P, and derivative gain, D, to attempt to track this reference model output.</w:t>
      </w:r>
    </w:p>
    <w:p w:rsidR="00827E4B" w:rsidRPr="00EF148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To understand </w:t>
      </w:r>
      <w:r w:rsidR="00B808CA">
        <w:rPr>
          <w:rFonts w:ascii="Garamond" w:eastAsia="Times New Roman" w:hAnsi="Garamond" w:cs="Times New Roman"/>
          <w:color w:val="000000"/>
          <w:sz w:val="24"/>
          <w:szCs w:val="24"/>
        </w:rPr>
        <w:t>how this adaptive controller functions and how its response is affected by the addition of dither</w:t>
      </w: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the provided GUI plots time plots of </w:t>
      </w:r>
      <w:r w:rsidR="00B808CA">
        <w:rPr>
          <w:rFonts w:ascii="Garamond" w:eastAsia="Times New Roman" w:hAnsi="Garamond" w:cs="Times New Roman"/>
          <w:color w:val="000000"/>
          <w:sz w:val="24"/>
          <w:szCs w:val="24"/>
        </w:rPr>
        <w:t>satellite motion and controller coefficients with selectable</w:t>
      </w: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initial conditions and parameter values.</w:t>
      </w:r>
    </w:p>
    <w:p w:rsidR="00827E4B" w:rsidRPr="00EF148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EF148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F148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Parameter Inputs</w:t>
      </w:r>
    </w:p>
    <w:p w:rsidR="00F32E9F" w:rsidRPr="00F32E9F" w:rsidRDefault="00F32E9F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input parameters are split into four categories. </w:t>
      </w:r>
      <w:r w:rsidRPr="00F32E9F">
        <w:rPr>
          <w:rFonts w:ascii="Garamond" w:eastAsia="Times New Roman" w:hAnsi="Garamond" w:cs="Times New Roman"/>
          <w:b/>
          <w:color w:val="000000"/>
          <w:sz w:val="24"/>
          <w:szCs w:val="24"/>
        </w:rPr>
        <w:t>System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affect the nature of the satellite itself, including its initial angle, its angular velocity, and its actual moment of inertia about its center of mass.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</w:rPr>
        <w:t>Controller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influence how the controller responds to measurements of the system and its response. The guessed moment of inertia affects the initial values of P and D, while the two adaption rates influence how quickly the controller adjusts P and D to respond to discrepancies between the model and the actual system.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</w:rPr>
        <w:t>Dither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D049B">
        <w:rPr>
          <w:rFonts w:ascii="Garamond" w:eastAsia="Times New Roman" w:hAnsi="Garamond" w:cs="Times New Roman"/>
          <w:color w:val="000000"/>
          <w:sz w:val="24"/>
          <w:szCs w:val="24"/>
        </w:rPr>
        <w:t xml:space="preserve">let the user set the variance of the </w:t>
      </w:r>
      <w:proofErr w:type="spellStart"/>
      <w:r w:rsidR="002F39B5">
        <w:rPr>
          <w:rFonts w:ascii="Garamond" w:eastAsia="Times New Roman" w:hAnsi="Garamond" w:cs="Times New Roman"/>
          <w:color w:val="000000"/>
          <w:sz w:val="24"/>
          <w:szCs w:val="24"/>
        </w:rPr>
        <w:t>awgn</w:t>
      </w:r>
      <w:proofErr w:type="spellEnd"/>
      <w:r w:rsidR="00BD049B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dither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. Finally,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</w:rPr>
        <w:t>reference signal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let the user choose between several reference signals for the satellite </w:t>
      </w:r>
      <w:r w:rsidR="00A2344F">
        <w:rPr>
          <w:rFonts w:ascii="Garamond" w:eastAsia="Times New Roman" w:hAnsi="Garamond" w:cs="Times New Roman"/>
          <w:color w:val="000000"/>
          <w:sz w:val="24"/>
          <w:szCs w:val="24"/>
        </w:rPr>
        <w:t>to track and adjust the magnitude and frequency of that reference.</w:t>
      </w:r>
    </w:p>
    <w:p w:rsidR="00827E4B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103A4" w:rsidRDefault="000975AC" w:rsidP="008103A4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All of these inputs can be set by directly entering them into the text boxes</w:t>
      </w:r>
      <w:r w:rsidR="008103A4">
        <w:rPr>
          <w:rFonts w:ascii="Garamond" w:eastAsia="Times New Roman" w:hAnsi="Garamond" w:cs="Times New Roman"/>
          <w:sz w:val="24"/>
          <w:szCs w:val="24"/>
        </w:rPr>
        <w:t xml:space="preserve"> and are</w:t>
      </w:r>
      <w:r w:rsidR="000240BD">
        <w:rPr>
          <w:rFonts w:ascii="Garamond" w:eastAsia="Times New Roman" w:hAnsi="Garamond" w:cs="Times New Roman"/>
          <w:sz w:val="24"/>
          <w:szCs w:val="24"/>
        </w:rPr>
        <w:t xml:space="preserve"> automatically</w:t>
      </w:r>
      <w:r w:rsidR="008103A4">
        <w:rPr>
          <w:rFonts w:ascii="Garamond" w:eastAsia="Times New Roman" w:hAnsi="Garamond" w:cs="Times New Roman"/>
          <w:sz w:val="24"/>
          <w:szCs w:val="24"/>
        </w:rPr>
        <w:t xml:space="preserve"> limited to reasonable ranges</w:t>
      </w:r>
      <w:r>
        <w:rPr>
          <w:rFonts w:ascii="Garamond" w:eastAsia="Times New Roman" w:hAnsi="Garamond" w:cs="Times New Roman"/>
          <w:sz w:val="24"/>
          <w:szCs w:val="24"/>
        </w:rPr>
        <w:t>. The dithering parameters can also be adjusted using the corresponding scroll bars. The scroll bar for the dithering amplitude operates on a logarithmic scale.</w:t>
      </w:r>
      <w:r w:rsidR="0039564D">
        <w:rPr>
          <w:rFonts w:ascii="Garamond" w:eastAsia="Times New Roman" w:hAnsi="Garamond" w:cs="Times New Roman"/>
          <w:sz w:val="24"/>
          <w:szCs w:val="24"/>
        </w:rPr>
        <w:t xml:space="preserve"> Each parameter can be reset to its default setting by pressing its corresponding </w:t>
      </w:r>
      <w:r w:rsidR="0039564D">
        <w:rPr>
          <w:rFonts w:ascii="Garamond" w:eastAsia="Times New Roman" w:hAnsi="Garamond" w:cs="Times New Roman"/>
          <w:i/>
          <w:sz w:val="24"/>
          <w:szCs w:val="24"/>
        </w:rPr>
        <w:t>Default</w:t>
      </w:r>
      <w:r w:rsidR="0039564D">
        <w:rPr>
          <w:rFonts w:ascii="Garamond" w:eastAsia="Times New Roman" w:hAnsi="Garamond" w:cs="Times New Roman"/>
          <w:sz w:val="24"/>
          <w:szCs w:val="24"/>
        </w:rPr>
        <w:t xml:space="preserve"> button.</w:t>
      </w:r>
    </w:p>
    <w:p w:rsidR="00827E4B" w:rsidRPr="008103A4" w:rsidRDefault="00827E4B" w:rsidP="008103A4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hAnsi="Garamond" w:cs="Times New Roman"/>
          <w:sz w:val="24"/>
        </w:rPr>
        <w:br/>
      </w:r>
      <w:r w:rsidR="00E17AEA" w:rsidRPr="005E0F6A">
        <w:rPr>
          <w:rFonts w:ascii="Garamond" w:hAnsi="Garamond" w:cs="Times New Roman"/>
          <w:b/>
          <w:sz w:val="28"/>
          <w:szCs w:val="28"/>
        </w:rPr>
        <w:t>Outputs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All outputs will </w:t>
      </w:r>
      <w:r w:rsidR="006376AB">
        <w:rPr>
          <w:rFonts w:ascii="Garamond" w:hAnsi="Garamond" w:cs="Times New Roman"/>
          <w:sz w:val="24"/>
        </w:rPr>
        <w:t>update when the “Run” button is pressed.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EC18DA" w:rsidRDefault="00827E4B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="006376AB">
        <w:rPr>
          <w:rFonts w:ascii="Garamond" w:hAnsi="Garamond" w:cs="Times New Roman"/>
          <w:b/>
          <w:sz w:val="24"/>
        </w:rPr>
        <w:t>Reference Signal</w:t>
      </w:r>
      <w:r w:rsidR="006376AB">
        <w:rPr>
          <w:rFonts w:ascii="Garamond" w:hAnsi="Garamond" w:cs="Times New Roman"/>
          <w:sz w:val="24"/>
        </w:rPr>
        <w:t xml:space="preserve"> plot shows the reference signal that the satellite will attempt to track, which is the sum of the </w:t>
      </w:r>
      <w:r w:rsidR="00C15223">
        <w:rPr>
          <w:rFonts w:ascii="Garamond" w:hAnsi="Garamond" w:cs="Times New Roman"/>
          <w:sz w:val="24"/>
        </w:rPr>
        <w:t xml:space="preserve">main reference signal and the dither. The </w:t>
      </w:r>
      <w:r w:rsidR="00C15223">
        <w:rPr>
          <w:rFonts w:ascii="Garamond" w:hAnsi="Garamond" w:cs="Times New Roman"/>
          <w:b/>
          <w:sz w:val="24"/>
        </w:rPr>
        <w:t>Theta over Time</w:t>
      </w:r>
      <w:r w:rsidR="00C15223">
        <w:rPr>
          <w:rFonts w:ascii="Garamond" w:hAnsi="Garamond" w:cs="Times New Roman"/>
          <w:sz w:val="24"/>
        </w:rPr>
        <w:t xml:space="preserve"> plot shows the actual attitude of the satellite over time, along with the ideal attitude of the satellite as specified by the model reference.</w:t>
      </w:r>
      <w:r w:rsidR="00FF4EE8">
        <w:rPr>
          <w:rFonts w:ascii="Garamond" w:hAnsi="Garamond" w:cs="Times New Roman"/>
          <w:sz w:val="24"/>
        </w:rPr>
        <w:t xml:space="preserve"> The </w:t>
      </w:r>
      <w:r w:rsidR="00FF4EE8">
        <w:rPr>
          <w:rFonts w:ascii="Garamond" w:hAnsi="Garamond" w:cs="Times New Roman"/>
          <w:b/>
          <w:sz w:val="24"/>
        </w:rPr>
        <w:t>P over Time</w:t>
      </w:r>
      <w:r w:rsidR="00FF4EE8">
        <w:rPr>
          <w:rFonts w:ascii="Garamond" w:hAnsi="Garamond" w:cs="Times New Roman"/>
          <w:sz w:val="24"/>
        </w:rPr>
        <w:t xml:space="preserve"> and </w:t>
      </w:r>
      <w:r w:rsidR="00FF4EE8">
        <w:rPr>
          <w:rFonts w:ascii="Garamond" w:hAnsi="Garamond" w:cs="Times New Roman"/>
          <w:b/>
          <w:sz w:val="24"/>
        </w:rPr>
        <w:t>D over Time</w:t>
      </w:r>
      <w:r w:rsidR="00FF4EE8">
        <w:rPr>
          <w:rFonts w:ascii="Garamond" w:hAnsi="Garamond" w:cs="Times New Roman"/>
          <w:sz w:val="24"/>
        </w:rPr>
        <w:t xml:space="preserve"> plots show the time evolution of the controller parameters.</w:t>
      </w:r>
      <w:r w:rsidR="00EC18DA">
        <w:rPr>
          <w:rFonts w:ascii="Garamond" w:hAnsi="Garamond" w:cs="Times New Roman"/>
          <w:sz w:val="24"/>
        </w:rPr>
        <w:t xml:space="preserve"> The </w:t>
      </w:r>
      <w:proofErr w:type="spellStart"/>
      <w:r w:rsidR="00EC18DA">
        <w:rPr>
          <w:rFonts w:ascii="Garamond" w:hAnsi="Garamond" w:cs="Times New Roman"/>
          <w:b/>
          <w:sz w:val="24"/>
        </w:rPr>
        <w:t>Lyapunov</w:t>
      </w:r>
      <w:proofErr w:type="spellEnd"/>
      <w:r w:rsidR="00EC18DA">
        <w:rPr>
          <w:rFonts w:ascii="Garamond" w:hAnsi="Garamond" w:cs="Times New Roman"/>
          <w:b/>
          <w:sz w:val="24"/>
        </w:rPr>
        <w:t xml:space="preserve"> over Time</w:t>
      </w:r>
      <w:r w:rsidR="00EC18DA">
        <w:rPr>
          <w:rFonts w:ascii="Garamond" w:hAnsi="Garamond" w:cs="Times New Roman"/>
          <w:sz w:val="24"/>
        </w:rPr>
        <w:t xml:space="preserve"> and </w:t>
      </w:r>
      <w:r w:rsidR="00EC18DA">
        <w:rPr>
          <w:rFonts w:ascii="Garamond" w:hAnsi="Garamond" w:cs="Times New Roman"/>
          <w:b/>
          <w:sz w:val="24"/>
        </w:rPr>
        <w:t xml:space="preserve">Derivative of </w:t>
      </w:r>
      <w:proofErr w:type="spellStart"/>
      <w:r w:rsidR="00EC18DA">
        <w:rPr>
          <w:rFonts w:ascii="Garamond" w:hAnsi="Garamond" w:cs="Times New Roman"/>
          <w:b/>
          <w:sz w:val="24"/>
        </w:rPr>
        <w:t>Lyapunov</w:t>
      </w:r>
      <w:proofErr w:type="spellEnd"/>
      <w:r w:rsidR="00EC18DA">
        <w:rPr>
          <w:rFonts w:ascii="Garamond" w:hAnsi="Garamond" w:cs="Times New Roman"/>
          <w:b/>
          <w:sz w:val="24"/>
        </w:rPr>
        <w:t xml:space="preserve"> over Time</w:t>
      </w:r>
      <w:r w:rsidR="00EC18DA">
        <w:rPr>
          <w:rFonts w:ascii="Garamond" w:hAnsi="Garamond" w:cs="Times New Roman"/>
          <w:sz w:val="24"/>
        </w:rPr>
        <w:t xml:space="preserve"> plots show the value of the </w:t>
      </w:r>
      <w:proofErr w:type="spellStart"/>
      <w:r w:rsidR="00EC18DA">
        <w:rPr>
          <w:rFonts w:ascii="Garamond" w:hAnsi="Garamond" w:cs="Times New Roman"/>
          <w:sz w:val="24"/>
        </w:rPr>
        <w:t>Lyapunov</w:t>
      </w:r>
      <w:proofErr w:type="spellEnd"/>
      <w:r w:rsidR="00EC18DA">
        <w:rPr>
          <w:rFonts w:ascii="Garamond" w:hAnsi="Garamond" w:cs="Times New Roman"/>
          <w:sz w:val="24"/>
        </w:rPr>
        <w:t xml:space="preserve"> function </w:t>
      </w:r>
    </w:p>
    <w:p w:rsidR="00C15223" w:rsidRDefault="00EC18DA" w:rsidP="00EC18DA">
      <w:pPr>
        <w:pStyle w:val="NoSpacing"/>
        <w:jc w:val="center"/>
        <w:rPr>
          <w:rFonts w:ascii="Garamond" w:eastAsiaTheme="minorEastAsia" w:hAnsi="Garamond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</m:oMath>
      </m:oMathPara>
    </w:p>
    <w:p w:rsidR="00F77059" w:rsidRPr="00EC2476" w:rsidRDefault="00EC18DA" w:rsidP="00EC2476">
      <w:pPr>
        <w:pStyle w:val="NoSpacing"/>
        <w:rPr>
          <w:rFonts w:ascii="Garamond" w:hAnsi="Garamond" w:cs="Times New Roman"/>
          <w:sz w:val="24"/>
        </w:rPr>
      </w:pPr>
      <w:proofErr w:type="gramStart"/>
      <w:r>
        <w:rPr>
          <w:rFonts w:ascii="Garamond" w:eastAsiaTheme="minorEastAsia" w:hAnsi="Garamond" w:cs="Times New Roman"/>
          <w:sz w:val="24"/>
        </w:rPr>
        <w:t>and</w:t>
      </w:r>
      <w:proofErr w:type="gramEnd"/>
      <w:r>
        <w:rPr>
          <w:rFonts w:ascii="Garamond" w:eastAsiaTheme="minorEastAsia" w:hAnsi="Garamond" w:cs="Times New Roman"/>
          <w:sz w:val="24"/>
        </w:rPr>
        <w:t xml:space="preserve"> its derivative. With properly chosen  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</m:e>
        </m:acc>
      </m:oMath>
      <w:r>
        <w:rPr>
          <w:rFonts w:ascii="Garamond" w:eastAsiaTheme="minorEastAsia" w:hAnsi="Garamond" w:cs="Times New Roman"/>
          <w:sz w:val="24"/>
        </w:rPr>
        <w:t xml:space="preserve"> </w:t>
      </w:r>
      <w:proofErr w:type="gramStart"/>
      <w:r>
        <w:rPr>
          <w:rFonts w:ascii="Garamond" w:eastAsiaTheme="minorEastAsia" w:hAnsi="Garamond" w:cs="Times New Roman"/>
          <w:sz w:val="24"/>
        </w:rPr>
        <w:t xml:space="preserve">and </w:t>
      </w:r>
      <m:oMath>
        <w:proofErr w:type="gramEnd"/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</m:e>
        </m:acc>
      </m:oMath>
      <w:r>
        <w:rPr>
          <w:rFonts w:ascii="Garamond" w:eastAsiaTheme="minorEastAsia" w:hAnsi="Garamond" w:cs="Times New Roman"/>
          <w:sz w:val="24"/>
        </w:rPr>
        <w:t>, this function should demonstrate the system’s global stability by being positive definite and monotonically decreasing.</w:t>
      </w:r>
      <w:r w:rsidR="00F77059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sectPr w:rsidR="00F77059" w:rsidRPr="00EC2476" w:rsidSect="00A1543F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7E4B"/>
    <w:rsid w:val="000046AB"/>
    <w:rsid w:val="0000606C"/>
    <w:rsid w:val="000069B5"/>
    <w:rsid w:val="00013475"/>
    <w:rsid w:val="00014D40"/>
    <w:rsid w:val="00017D55"/>
    <w:rsid w:val="000240BD"/>
    <w:rsid w:val="000242F7"/>
    <w:rsid w:val="00024ACD"/>
    <w:rsid w:val="000269D4"/>
    <w:rsid w:val="000300BF"/>
    <w:rsid w:val="00031058"/>
    <w:rsid w:val="00036A50"/>
    <w:rsid w:val="00037332"/>
    <w:rsid w:val="00037741"/>
    <w:rsid w:val="000443EB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975AC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2F78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9B5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5662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564D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0EEE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07C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0599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9B8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0F6A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376AB"/>
    <w:rsid w:val="0064065D"/>
    <w:rsid w:val="006431D2"/>
    <w:rsid w:val="00643B95"/>
    <w:rsid w:val="00645FC7"/>
    <w:rsid w:val="00647A25"/>
    <w:rsid w:val="00650E8F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4361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03A4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38A1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0721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E3BA6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2A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54CD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543F"/>
    <w:rsid w:val="00A161CB"/>
    <w:rsid w:val="00A20BE3"/>
    <w:rsid w:val="00A228CC"/>
    <w:rsid w:val="00A2344F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48C3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08CA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49B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5223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0020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4255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18DA"/>
    <w:rsid w:val="00EC2476"/>
    <w:rsid w:val="00EC5CFA"/>
    <w:rsid w:val="00ED1565"/>
    <w:rsid w:val="00ED15F5"/>
    <w:rsid w:val="00EE0526"/>
    <w:rsid w:val="00EE300E"/>
    <w:rsid w:val="00EE474B"/>
    <w:rsid w:val="00EE4A04"/>
    <w:rsid w:val="00EE5B80"/>
    <w:rsid w:val="00EF148A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32E9F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  <w:rsid w:val="00FF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648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lparkjordan@hmc.edu</cp:lastModifiedBy>
  <cp:revision>19</cp:revision>
  <dcterms:created xsi:type="dcterms:W3CDTF">2014-12-17T06:37:00Z</dcterms:created>
  <dcterms:modified xsi:type="dcterms:W3CDTF">2014-12-17T12:00:00Z</dcterms:modified>
</cp:coreProperties>
</file>