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44"/>
        </w:rPr>
        <w:t>学院学生综合服务与党团管理平台</w:t>
      </w:r>
    </w:p>
    <w:p>
      <w:pPr>
        <w:spacing w:before="0" w:after="320" w:line="240" w:lineRule="auto"/>
        <w:jc w:val="center"/>
      </w:pPr>
      <w:r>
        <w:rPr>
          <w:rFonts w:ascii="Noto Sans CJK SC" w:hAnsi="Noto Sans CJK SC" w:eastAsia="Noto Sans CJK SC"/>
          <w:b/>
          <w:i w:val="0"/>
          <w:color w:val="37474F"/>
          <w:sz w:val="30"/>
        </w:rPr>
        <w:t>结构化需求文档（整合版 V1.0）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9D7EE"/>
          <w:left w:val="single" w:sz="8" w:space="0" w:color="C9D7EE"/>
          <w:bottom w:val="single" w:sz="8" w:space="0" w:color="C9D7EE"/>
          <w:right w:val="single" w:sz="8" w:space="0" w:color="C9D7EE"/>
          <w:insideH w:val="single" w:sz="8" w:space="0" w:color="C9D7EE"/>
          <w:insideV w:val="single" w:sz="8" w:space="0" w:color="C9D7EE"/>
        </w:tblBorders>
      </w:tblPr>
      <w:tblGrid>
        <w:gridCol w:w="1871"/>
        <w:gridCol w:w="6463"/>
      </w:tblGrid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3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文档用途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用于项目组内部统一需求口径，并支撑后续概要设计、数据库设计、接口设计与任务拆分。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3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整理依据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《产品需求文档：学院学生综合服务与党团管理平台》与《学院服务平台需求分析纪要-2026-3-23》。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3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适用对象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项目组成员、指导老师、需求分析与设计负责人。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DF3FB"/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统一结论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本版口径共整理出 10 个一级功能模块、8 类服务要求，并给出优先级与边界说明。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AF7"/>
          <w:left w:val="single" w:sz="8" w:space="0" w:color="D9EAF7"/>
          <w:bottom w:val="single" w:sz="8" w:space="0" w:color="D9EAF7"/>
          <w:right w:val="single" w:sz="8" w:space="0" w:color="D9EAF7"/>
          <w:insideH w:val="single" w:sz="8" w:space="0" w:color="D9EAF7"/>
          <w:insideV w:val="single" w:sz="8" w:space="0" w:color="D9EAF7"/>
        </w:tblBorders>
      </w:tblPr>
      <w:tblGrid>
        <w:gridCol w:w="9859"/>
      </w:tblGrid>
      <w:tr>
        <w:tc>
          <w:tcPr>
            <w:tcW w:type="dxa" w:w="9859"/>
            <w:shd w:fill="F6FAFD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0"/>
              </w:rPr>
              <w:t>统一口径说明：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20"/>
              </w:rPr>
              <w:t>两份原始材料在产品形态、并发描述与模块优先级上存在少量差异。本文档采用“面向落地”的统一表达：将平台形态表述为“兼顾手机端与电脑端”，将并发理解为“覆盖人数约 1000—1200 人、日常同时在线人数较低”，并将功能按 P0 / P1 / P2 划分。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8E6F8"/>
          <w:left w:val="single" w:sz="8" w:space="0" w:color="D8E6F8"/>
          <w:bottom w:val="single" w:sz="8" w:space="0" w:color="D8E6F8"/>
          <w:right w:val="single" w:sz="8" w:space="0" w:color="D8E6F8"/>
          <w:insideH w:val="single" w:sz="8" w:space="0" w:color="D8E6F8"/>
          <w:insideV w:val="single" w:sz="8" w:space="0" w:color="D8E6F8"/>
        </w:tblBorders>
      </w:tblPr>
      <w:tblGrid>
        <w:gridCol w:w="3286"/>
        <w:gridCol w:w="3286"/>
        <w:gridCol w:w="3286"/>
      </w:tblGrid>
      <w:tr>
        <w:tc>
          <w:tcPr>
            <w:tcW w:type="dxa" w:w="3286"/>
            <w:tcMar>
              <w:top w:w="120" w:type="dxa"/>
              <w:start w:w="130" w:type="dxa"/>
              <w:bottom w:w="120" w:type="dxa"/>
              <w:end w:w="130" w:type="dxa"/>
            </w:tcMar>
            <w:shd w:fill="F8FBFE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36"/>
              </w:rPr>
              <w:t>10 个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1"/>
              </w:rPr>
              <w:t>一级功能模块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覆盖认证、问答、党团流程、精准推送、审批、画像、荣誉、学业预警、数据处理与后台支撑。</w:t>
            </w:r>
          </w:p>
        </w:tc>
        <w:tc>
          <w:tcPr>
            <w:tcW w:type="dxa" w:w="3286"/>
            <w:tcMar>
              <w:top w:w="120" w:type="dxa"/>
              <w:start w:w="130" w:type="dxa"/>
              <w:bottom w:w="120" w:type="dxa"/>
              <w:end w:w="130" w:type="dxa"/>
            </w:tcMar>
            <w:shd w:fill="F8FBFE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36"/>
              </w:rPr>
              <w:t>8 类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1"/>
              </w:rPr>
              <w:t>服务要求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覆盖终端、部署环境、数据、安全、审批、消息、性能容量与可维护性。</w:t>
            </w:r>
          </w:p>
        </w:tc>
        <w:tc>
          <w:tcPr>
            <w:tcW w:type="dxa" w:w="3286"/>
            <w:tcMar>
              <w:top w:w="120" w:type="dxa"/>
              <w:start w:w="130" w:type="dxa"/>
              <w:bottom w:w="120" w:type="dxa"/>
              <w:end w:w="130" w:type="dxa"/>
            </w:tcMar>
            <w:shd w:fill="F8FBFE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36"/>
              </w:rPr>
              <w:t>3 级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1"/>
              </w:rPr>
              <w:t>优先级层次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P0 为必须优先上线能力，P1 为重要增强，P2 为后续扩展与创新模块。</w:t>
            </w:r>
          </w:p>
        </w:tc>
      </w:tr>
    </w:tbl>
    <w:p>
      <w:r>
        <w:br w:type="page"/>
      </w:r>
    </w:p>
    <w:p>
      <w:pPr>
        <w:pStyle w:val="Heading1"/>
        <w:spacing w:before="200" w:after="12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1. 项目概述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1.1 项目背景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当前学院学生事务办理（如党团流程、证明开具、政策咨询、就业通知和日常信息传递）主要依赖老师人工处理与微信群转发，存在重复劳动多、流程不透明、信息触达不精准、学生查询效率低等问题。建设统一平台的目的，是把这些事务从“分散、口口相传”的方式转为“标准、可追踪、可复用”的数字化服务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1.2 建设目标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学生事务办理电子化，减少线下反复沟通与重复劳动。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政策咨询智能化，降低学生对高频事务的理解门槛。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信息推送精准化，提升通知触达效率与相关性。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党团事务流程可视化，使学生明确当前阶段与下一步动作。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学生信息管理规范化，为后续统计、服务与扩展提供基础。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1.3 目标用户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系统主要面向学院内部用户，覆盖约 1000—1200 名本科生及研究生，同时服务于学院领导、辅导员、班主任、班团骨干等管理角色。平台当前只面向本学院场景，不直接对接校级“微人大”或教务系统接口。</w:t>
      </w:r>
    </w:p>
    <w:p>
      <w:pPr>
        <w:pStyle w:val="Heading1"/>
        <w:spacing w:before="200" w:after="12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2. 系统定位与建设范围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2.1 系统定位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本系统是一个面向学院场景的综合服务平台，重点覆盖学生政策咨询、党团事务管理、通知聚合与推送、电子审批、学生画像、荣誉展示和学业分析等能力。系统既要满足学生端的高频轻量使用，也要支持管理端的审批、统计、维护与批量处理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2.2 系统边界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当前不直接对接校级“微人大”或正式教务接口。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外部数据主要通过 Excel、Word、PDF 等文档导入导出。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短信通知由于涉及第三方费用，可先保留接口或做模拟记录。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学业分析与预警属于创新性增强模块，可后置建设。</w:t>
      </w:r>
    </w:p>
    <w:p>
      <w:pPr>
        <w:pStyle w:val="Heading1"/>
        <w:spacing w:before="200" w:after="12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3. 用户角色与权限要求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3.1 角色划分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8D9F0"/>
          <w:left w:val="single" w:sz="7" w:space="0" w:color="C8D9F0"/>
          <w:bottom w:val="single" w:sz="7" w:space="0" w:color="C8D9F0"/>
          <w:right w:val="single" w:sz="7" w:space="0" w:color="C8D9F0"/>
          <w:insideH w:val="single" w:sz="7" w:space="0" w:color="C8D9F0"/>
          <w:insideV w:val="single" w:sz="7" w:space="0" w:color="C8D9F0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1134"/>
            <w:shd w:fill="EAF2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角色等级</w:t>
            </w:r>
          </w:p>
        </w:tc>
        <w:tc>
          <w:tcPr>
            <w:tcW w:type="dxa" w:w="1757"/>
            <w:shd w:fill="EAF2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对应人群</w:t>
            </w:r>
          </w:p>
        </w:tc>
        <w:tc>
          <w:tcPr>
            <w:tcW w:type="dxa" w:w="2551"/>
            <w:shd w:fill="EAF2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核心职责</w:t>
            </w:r>
          </w:p>
        </w:tc>
        <w:tc>
          <w:tcPr>
            <w:tcW w:type="dxa" w:w="2835"/>
            <w:shd w:fill="EAF2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权限说明</w:t>
            </w:r>
          </w:p>
        </w:tc>
      </w:tr>
      <w:tr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一级</w:t>
            </w:r>
          </w:p>
        </w:tc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学院领导</w:t>
            </w:r>
          </w:p>
        </w:tc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关注平台运行情况与统计结果</w:t>
            </w:r>
          </w:p>
        </w:tc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最高查看权限，不参与日常数据维护</w:t>
            </w:r>
          </w:p>
        </w:tc>
      </w:tr>
      <w:tr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二级</w:t>
            </w:r>
          </w:p>
        </w:tc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管理老师</w:t>
            </w:r>
          </w:p>
        </w:tc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负责数据上传、业务维护与审批</w:t>
            </w:r>
          </w:p>
        </w:tc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拥有主要管理与审批权限</w:t>
            </w:r>
          </w:p>
        </w:tc>
      </w:tr>
      <w:tr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三级</w:t>
            </w:r>
          </w:p>
        </w:tc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班团骨干</w:t>
            </w:r>
          </w:p>
        </w:tc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协助对接学生与学院事务</w:t>
            </w:r>
          </w:p>
        </w:tc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拥有部分管理权限，不宜接触敏感信息</w:t>
            </w:r>
          </w:p>
        </w:tc>
      </w:tr>
      <w:tr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四级</w:t>
            </w:r>
          </w:p>
        </w:tc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普通学生</w:t>
            </w:r>
          </w:p>
        </w:tc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查看个人信息、办理事务与接收通知</w:t>
            </w:r>
          </w:p>
        </w:tc>
        <w:tc>
          <w:tcPr>
            <w:tcW w:type="dxa" w:w="246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仅访问本人相关信息，不具备审批与导出权限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3.2 权限控制规则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学生仅能访问与本人直接相关的数据、状态与办理结果。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审批权限仅开放给合规角色，助教原则上不具备审批权。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敏感信息仅限管理员可见，并应进行更细粒度控制。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所有管理行为应记录操作日志，便于责任追溯与问题排查。</w:t>
      </w:r>
    </w:p>
    <w:p>
      <w:pPr>
        <w:pStyle w:val="Heading1"/>
        <w:spacing w:before="200" w:after="12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4. 总体功能架构与优先级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4.1 一级功能模块总览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D6E2F3"/>
          <w:left w:val="single" w:sz="7" w:space="0" w:color="D6E2F3"/>
          <w:bottom w:val="single" w:sz="7" w:space="0" w:color="D6E2F3"/>
          <w:right w:val="single" w:sz="7" w:space="0" w:color="D6E2F3"/>
          <w:insideH w:val="single" w:sz="7" w:space="0" w:color="D6E2F3"/>
          <w:insideV w:val="single" w:sz="7" w:space="0" w:color="D6E2F3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680"/>
            <w:shd w:fill="EEF4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编号</w:t>
            </w:r>
          </w:p>
        </w:tc>
        <w:tc>
          <w:tcPr>
            <w:tcW w:type="dxa" w:w="2835"/>
            <w:shd w:fill="EEF4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一级功能模块</w:t>
            </w:r>
          </w:p>
        </w:tc>
        <w:tc>
          <w:tcPr>
            <w:tcW w:type="dxa" w:w="1020"/>
            <w:shd w:fill="EEF4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优先级</w:t>
            </w:r>
          </w:p>
        </w:tc>
        <w:tc>
          <w:tcPr>
            <w:tcW w:type="dxa" w:w="3969"/>
            <w:shd w:fill="EEF4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核心价值</w:t>
            </w:r>
          </w:p>
        </w:tc>
      </w:tr>
      <w:tr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01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用户认证与权限管理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P0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保障用户身份识别、角色分配和访问控制。</w:t>
            </w:r>
          </w:p>
        </w:tc>
      </w:tr>
      <w:tr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02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智能问答与政策知识库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P0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降低高频咨询成本，统一政策口径。</w:t>
            </w:r>
          </w:p>
        </w:tc>
      </w:tr>
      <w:tr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03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党团事务流程管理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P0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固化入党入团流程，支持阶段追踪与提醒。</w:t>
            </w:r>
          </w:p>
        </w:tc>
      </w:tr>
      <w:tr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04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信息集成与精准推送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P1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提高通知到达率与相关性。</w:t>
            </w:r>
          </w:p>
        </w:tc>
      </w:tr>
      <w:tr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05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电子证明生成与审批流程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P1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将证明、请假、盖章等事项数字化。</w:t>
            </w:r>
          </w:p>
        </w:tc>
      </w:tr>
      <w:tr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06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学生画像与信息管理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P1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沉淀学生基础与成长数据。</w:t>
            </w:r>
          </w:p>
        </w:tc>
      </w:tr>
    </w:tbl>
    <w:p>
      <w:r>
        <w:br w:type="page"/>
      </w:r>
    </w:p>
    <w:p>
      <w:pPr>
        <w:pStyle w:val="Heading3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2"/>
        </w:rPr>
        <w:t>4.1 一级功能模块总览（续）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D6E2F3"/>
          <w:left w:val="single" w:sz="7" w:space="0" w:color="D6E2F3"/>
          <w:bottom w:val="single" w:sz="7" w:space="0" w:color="D6E2F3"/>
          <w:right w:val="single" w:sz="7" w:space="0" w:color="D6E2F3"/>
          <w:insideH w:val="single" w:sz="7" w:space="0" w:color="D6E2F3"/>
          <w:insideV w:val="single" w:sz="7" w:space="0" w:color="D6E2F3"/>
        </w:tblBorders>
      </w:tblPr>
      <w:tblGrid>
        <w:gridCol w:w="2465"/>
        <w:gridCol w:w="2465"/>
        <w:gridCol w:w="2465"/>
        <w:gridCol w:w="2465"/>
      </w:tblGrid>
      <w:tr>
        <w:tc>
          <w:tcPr>
            <w:tcW w:type="dxa" w:w="680"/>
            <w:shd w:fill="EEF4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编号</w:t>
            </w:r>
          </w:p>
        </w:tc>
        <w:tc>
          <w:tcPr>
            <w:tcW w:type="dxa" w:w="2835"/>
            <w:shd w:fill="EEF4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一级功能模块（续）</w:t>
            </w:r>
          </w:p>
        </w:tc>
        <w:tc>
          <w:tcPr>
            <w:tcW w:type="dxa" w:w="1020"/>
            <w:shd w:fill="EEF4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优先级</w:t>
            </w:r>
          </w:p>
        </w:tc>
        <w:tc>
          <w:tcPr>
            <w:tcW w:type="dxa" w:w="3969"/>
            <w:shd w:fill="EEF4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核心价值</w:t>
            </w:r>
          </w:p>
        </w:tc>
      </w:tr>
      <w:tr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07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奖励荣誉展示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P1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强化典型示范与学院展示。</w:t>
            </w:r>
          </w:p>
        </w:tc>
      </w:tr>
      <w:tr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08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学业分析与预警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P2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作为创新性模块辅助培养方案比对。</w:t>
            </w:r>
          </w:p>
        </w:tc>
      </w:tr>
      <w:tr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09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数据导入导出与文档处理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P0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解决无法直连校级系统的现实约束。</w:t>
            </w:r>
          </w:p>
        </w:tc>
      </w:tr>
      <w:tr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10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审计日志与后台管理支撑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P0</w:t>
            </w:r>
          </w:p>
        </w:tc>
        <w:tc>
          <w:tcPr>
            <w:tcW w:type="dxa" w:w="2465"/>
            <w:tcMar>
              <w:top w:w="80" w:type="dxa"/>
              <w:start w:w="95" w:type="dxa"/>
              <w:bottom w:w="80" w:type="dxa"/>
              <w:end w:w="95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8"/>
              </w:rPr>
              <w:t>保障系统可追溯、可维护、可迭代。</w:t>
            </w:r>
          </w:p>
        </w:tc>
      </w:tr>
    </w:tbl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4.2 优先级解释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P0：必须优先上线的核心能力，直接影响平台是否可用。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P1：重要增强能力，建议在第一阶段后半段或第二阶段建设。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P2：创新性或依赖较高的数据模块，可在基础能力稳定后迭代。</w:t>
      </w:r>
    </w:p>
    <w:p>
      <w:pPr>
        <w:pStyle w:val="Heading1"/>
        <w:spacing w:before="200" w:after="12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5. 功能需求详述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5.1 用户认证与权限管理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该模块是全系统的基础支撑能力，负责完成用户识别、角色授权和访问控制。系统应支持基于微信实名或统一账号方式登录，并在登录后自动关联学生基础信息，如学号、姓名、专业、班级等。不同角色只能访问各自授权范围内的数据和功能，助教默认不开放审批权限，所有管理行为都应形成可追溯日志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支持学生端与管理端登录。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支持角色分配与权限隔离。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支持学生仅查看本人信息。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支持管理员操作留痕与溯源。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>服务要求：权限模型需稳定、可扩展，并支持后续新增角色或细分权限点。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5.2 智能问答与政策知识库（P0）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该模块用于解决入党流程、奖助学金资格、休学复学、宿舍调整、查档调档、节假日安排等重复性咨询问题。平台应允许老师上传政策文件，形成可检索的知识库，并支持通过关键词搜索或 AI 匹配提供即时答复。回答应优先基于标准答案、制度摘要或官方链接，尽量避免自由生成造成的“幻觉”。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支持老师手动上传政策文档，建议单文件大小不超过 30MB。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支持关键词检索与智能匹配。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支持常用表格、证明、请假条、预算表、简报模板下载。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敏感问题应优先返回官方入口或链接，而非直接展开。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>服务要求：知识库内容要支持管理员维护、更新、上下架，回答结果应尽量可追溯到原文依据。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5.3 党团事务流程管理（P0）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该模块用于将入党、入团等固定流程标准化、时间线化和可视化，使学生清楚自己当前所处阶段、已完成事项及下一步动作。系统应能够配置稳定的标准时间线，并针对关键节点自动提醒。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展示入党申请人、积极分子、发展对象、预备党员、正式党员等阶段。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支持学生查看个人当前阶段与已完成动作。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支持根据时间节点自动提醒，如思想汇报提交时点。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可选支持党建知识理论自测。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>服务要求：流程应支持长期维护与配置化管理，阶段状态既对学生可见，也便于老师修改与核验。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5.4 信息集成与精准推送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该模块用于集中管理学院通知、就业信息、实习信息以及后勤、保卫等部门信息，并面向不同学生群体做差异化投放。系统应支持对信息进行标签化管理，并结合年级、专业、毕业状态等画像维度进行精准推送。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支持管理员录入或整理导入通知。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支持标签设置，如就业、实习、计算机类等。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支持按年级、专业、是否毕业生等维度定向发送。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支持站内消息、邮件、微信提醒，多渠道记录发送情况。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>服务要求：应能批量筛选目标群体，保存推送记录，并尽量避免无差别群发。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5.5 电子证明生成与审批流程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该模块将学院内部常见的证明开具、请假申请、盖章申请等事项数字化。系统应根据学生基础数据库和标准模板自动生成文档内容，提供 PDF 预览，并让老师在线完成通过、驳回或重批。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支持证明模板统一管理。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支持自动填充姓名、学号、身份证号、入党时间等信息。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 PDF 预览与归档。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支持审批通过、驳回以及一定期限内撤回或重批。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>服务要求：审批链路必须留痕，学生应能查询状态，撤回/重批规则建议限定在 1—2 天内。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5.6 学生画像与信息管理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该模块用于沉淀学生基础与成长数据，为精准推送、荣誉展示和后续分析提供基础。系统需支持维护学号、专业、年级、班级、科研竞赛、社会实践等维度，并区分公开字段与敏感字段。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支持基础信息与成长信息维护。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支持按班级、专业、年级筛选。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支持批量导入导出。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支持数据字段后续扩展。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>服务要求：应明确公开信息与受限信息边界，避免班团骨干误接触敏感数据。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5.7 奖励荣誉展示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该模块用于展示学院优秀个人或集体的荣誉成果，如国奖、校优等，发挥榜样带动作用。系统应支持管理员维护展示内容，学生端可浏览查看。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支持配置展示栏目。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支持维护荣誉名称、获得者、时间和说明。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支持按年度或类别浏览。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>服务要求：展示内容需经过审核，展示范围与字段由管理员控制。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5.8 学业分析与预警（P2）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该模块作为创新性亮点，用于帮助学生理解培养方案完成情况。系统可录入各专业、各年级培养方案，允许学生上传成绩单并解析 PDF，进而高亮尚未满足的学分模块，并给出课程类型上的建议。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支持培养方案录入与版本区分。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支持学生成绩单上传。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 PDF 解析与学分比对。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支持课程类型推荐，但不涉及真实选课人数与教务规则。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>服务要求：分析结果仅作辅助提醒，不替代正式教务认定；模块建议在基础能力稳定后上线。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5.9 数据导入导出与文档处理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考虑到当前无法直接打通校级系统，本模块负责解决平台的数据流入与流出问题。系统需支持 Excel、Word、PDF 的导入导出，便于学生数据、通知、流程数据和审批材料的批量处理。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 Excel/Word/PDF 文档导入。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支持批量导入学生信息、通知、流程数据。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支持数据导出用于统计、归档和线下处理。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支持生成 PDF 证明与审批留档。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>服务要求：后台应有清晰的导入模板与错误提示，避免批量处理时难以定位问题。</w:t>
      </w:r>
    </w:p>
    <w:p>
      <w:pPr>
        <w:pStyle w:val="Heading2"/>
        <w:spacing w:before="120" w:after="80" w:line="288" w:lineRule="auto"/>
      </w:pPr>
      <w:r>
        <w:rPr>
          <w:rFonts w:ascii="Noto Sans CJK SC" w:hAnsi="Noto Sans CJK SC" w:eastAsia="Noto Sans CJK SC"/>
          <w:b/>
          <w:i w:val="0"/>
          <w:color w:val="37474F"/>
          <w:sz w:val="25"/>
        </w:rPr>
        <w:t>5.10 审计日志与后台管理支撑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该模块用于保障整个平台可管理、可追溯、可维护。后台应支持对流程配置、模板、通知、政策文档、展示栏目等进行管理，同时记录关键操作日志，为后续问题排查和责任追踪提供依据。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支持内容管理、模板管理、流程配置管理。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支持管理员操作日志记录。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支持后台统计分析。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支持模块化扩展与版本迭代。</w:t>
      </w:r>
    </w:p>
    <w:p>
      <w:pPr>
        <w:spacing w:before="0" w:after="120" w:line="312" w:lineRule="auto"/>
      </w:pPr>
      <w:r>
        <w:rPr>
          <w:rFonts w:ascii="Noto Sans CJK SC" w:hAnsi="Noto Sans CJK SC" w:eastAsia="Noto Sans CJK SC"/>
          <w:b/>
          <w:i w:val="0"/>
          <w:color w:val="37474F"/>
          <w:sz w:val="20"/>
        </w:rPr>
        <w:t>服务要求：后台结构应稳定、清晰，避免后期因补丁式开发导致维护困难。</w:t>
      </w:r>
    </w:p>
    <w:p>
      <w:pPr>
        <w:pStyle w:val="Heading1"/>
        <w:spacing w:before="200" w:after="12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6. 服务要求汇总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D6E2F3"/>
          <w:left w:val="single" w:sz="7" w:space="0" w:color="D6E2F3"/>
          <w:bottom w:val="single" w:sz="7" w:space="0" w:color="D6E2F3"/>
          <w:right w:val="single" w:sz="7" w:space="0" w:color="D6E2F3"/>
          <w:insideH w:val="single" w:sz="7" w:space="0" w:color="D6E2F3"/>
          <w:insideV w:val="single" w:sz="7" w:space="0" w:color="D6E2F3"/>
        </w:tblBorders>
      </w:tblPr>
      <w:tblGrid>
        <w:gridCol w:w="3286"/>
        <w:gridCol w:w="3286"/>
        <w:gridCol w:w="3286"/>
      </w:tblGrid>
      <w:tr>
        <w:tc>
          <w:tcPr>
            <w:tcW w:type="dxa" w:w="1701"/>
            <w:shd w:fill="EDF4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服务类别</w:t>
            </w:r>
          </w:p>
        </w:tc>
        <w:tc>
          <w:tcPr>
            <w:tcW w:type="dxa" w:w="4025"/>
            <w:shd w:fill="EDF4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重点要求</w:t>
            </w:r>
          </w:p>
        </w:tc>
        <w:tc>
          <w:tcPr>
            <w:tcW w:type="dxa" w:w="2778"/>
            <w:shd w:fill="EDF4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落实建议</w:t>
            </w:r>
          </w:p>
        </w:tc>
      </w:tr>
      <w:tr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终端服务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兼顾手机端高频操作与电脑端复杂审批、统计和批量处理。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前端设计需考虑双端适配。</w:t>
            </w:r>
          </w:p>
        </w:tc>
      </w:tr>
      <w:tr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部署与技术环境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数据库采用 Kingbase；服务器需与学校或相关方协同部署。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保留“网页/小程序”技术实现决策空间。</w:t>
            </w:r>
          </w:p>
        </w:tc>
      </w:tr>
      <w:tr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数据服务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不直连微人大；主要依赖文档导入导出与人工维护。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优先设计标准模板与后台导入能力。</w:t>
            </w:r>
          </w:p>
        </w:tc>
      </w:tr>
      <w:tr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安全服务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身份证号、生源地、户籍地、导师信息等严格保护。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采用字段级权限控制与加密存储。</w:t>
            </w:r>
          </w:p>
        </w:tc>
      </w:tr>
      <w:tr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审批服务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审批需可留痕、可撤回、可重批，并支持状态查询。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明确审批时限和角色规则。</w:t>
            </w:r>
          </w:p>
        </w:tc>
      </w:tr>
      <w:tr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消息服务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优先支持邮件与微信提醒，短信可模拟。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保留消息记录与推送对象清单。</w:t>
            </w:r>
          </w:p>
        </w:tc>
      </w:tr>
      <w:tr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性能与容量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覆盖人数约 1000—1200 人，但日常同时在线峰值较低。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按学院内部场景设计，关注稳定性而非极限高并发。</w:t>
            </w:r>
          </w:p>
        </w:tc>
      </w:tr>
      <w:tr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可维护性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采用模块化开发，避免补丁式演进。</w:t>
            </w:r>
          </w:p>
        </w:tc>
        <w:tc>
          <w:tcPr>
            <w:tcW w:type="dxa" w:w="3286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81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32323"/>
                <w:sz w:val="19"/>
              </w:rPr>
              <w:t>分层设计、稳定接口、清晰配置项。</w:t>
            </w:r>
          </w:p>
        </w:tc>
      </w:tr>
    </w:tbl>
    <w:p>
      <w:pPr>
        <w:pStyle w:val="Heading1"/>
        <w:spacing w:before="200" w:after="12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7. 非功能需求</w:t>
      </w:r>
    </w:p>
    <w:p>
      <w:pPr>
        <w:spacing w:before="0" w:after="100" w:line="331" w:lineRule="auto"/>
        <w:ind w:firstLine="0"/>
      </w:pPr>
      <w:r>
        <w:rPr>
          <w:rFonts w:ascii="Noto Sans CJK SC" w:hAnsi="Noto Sans CJK SC" w:eastAsia="Noto Sans CJK SC"/>
          <w:b/>
          <w:i w:val="0"/>
          <w:color w:val="37474F"/>
          <w:sz w:val="21"/>
        </w:rPr>
        <w:t>安全性：</w:t>
      </w: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关键隐私数据需加密存储，严格区分公开信息与敏感信息，并保证操作可审计。</w:t>
      </w:r>
    </w:p>
    <w:p>
      <w:pPr>
        <w:spacing w:before="0" w:after="100" w:line="331" w:lineRule="auto"/>
        <w:ind w:firstLine="0"/>
      </w:pPr>
      <w:r>
        <w:rPr>
          <w:rFonts w:ascii="Noto Sans CJK SC" w:hAnsi="Noto Sans CJK SC" w:eastAsia="Noto Sans CJK SC"/>
          <w:b/>
          <w:i w:val="0"/>
          <w:color w:val="37474F"/>
          <w:sz w:val="21"/>
        </w:rPr>
        <w:t>可靠性：</w:t>
      </w: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依托底层数据库保证数据一致性，避免流程、审批和通知数据丢失。</w:t>
      </w:r>
    </w:p>
    <w:p>
      <w:pPr>
        <w:spacing w:before="0" w:after="100" w:line="331" w:lineRule="auto"/>
        <w:ind w:firstLine="0"/>
      </w:pPr>
      <w:r>
        <w:rPr>
          <w:rFonts w:ascii="Noto Sans CJK SC" w:hAnsi="Noto Sans CJK SC" w:eastAsia="Noto Sans CJK SC"/>
          <w:b/>
          <w:i w:val="0"/>
          <w:color w:val="37474F"/>
          <w:sz w:val="21"/>
        </w:rPr>
        <w:t>可维护性：</w:t>
      </w: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采用模块化设计与清晰代码结构，便于后续新增出国申请、评奖评优等功能。</w:t>
      </w:r>
    </w:p>
    <w:p>
      <w:pPr>
        <w:spacing w:before="0" w:after="100" w:line="331" w:lineRule="auto"/>
        <w:ind w:firstLine="0"/>
      </w:pPr>
      <w:r>
        <w:rPr>
          <w:rFonts w:ascii="Noto Sans CJK SC" w:hAnsi="Noto Sans CJK SC" w:eastAsia="Noto Sans CJK SC"/>
          <w:b/>
          <w:i w:val="0"/>
          <w:color w:val="37474F"/>
          <w:sz w:val="21"/>
        </w:rPr>
        <w:t>易用性：</w:t>
      </w: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学生端应简洁清晰，管理端应便于筛选、审批、统计与批量处理。</w:t>
      </w:r>
    </w:p>
    <w:p>
      <w:pPr>
        <w:pStyle w:val="Heading1"/>
        <w:spacing w:before="200" w:after="12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8. 交付物要求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软件产品：可部署的学生端与后台管理端。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技术文档：源代码、数据库设计说明书、API 接口文档。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用户手册：学生端操作说明与管理员端操作说明。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演示材料：用于答辩和评审的 PPT 与系统演示方案。</w:t>
      </w:r>
    </w:p>
    <w:p>
      <w:pPr>
        <w:pStyle w:val="Heading1"/>
        <w:spacing w:before="200" w:after="120" w:line="288" w:lineRule="auto"/>
      </w:pPr>
      <w:r>
        <w:rPr>
          <w:rFonts w:ascii="Noto Sans CJK SC" w:hAnsi="Noto Sans CJK SC" w:eastAsia="Noto Sans CJK SC"/>
          <w:b/>
          <w:i w:val="0"/>
          <w:color w:val="1F4E79"/>
          <w:sz w:val="30"/>
        </w:rPr>
        <w:t>9. 最终结论</w:t>
      </w:r>
    </w:p>
    <w:p>
      <w:pPr>
        <w:spacing w:before="0" w:after="120" w:line="348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32323"/>
          <w:sz w:val="21"/>
        </w:rPr>
        <w:t>综合两份原始材料后，本项目可形成明确的统一需求口径：平台应围绕“学生服务、党团管理、信息推送与数字化审批”四条主线展开，整体共整理为 10 个一级功能模块与 8 类服务要求。其中，智能问答与政策知识库、党团事务流程管理、认证权限、数据导入导出以及后台支撑能力属于必须优先落实的基础能力；学生画像、荣誉展示、电子审批与精准推送属于重要增强模块；学业分析与预警则适合作为后续亮点功能分阶段建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4E2F5"/>
          <w:left w:val="single" w:sz="8" w:space="0" w:color="D4E2F5"/>
          <w:bottom w:val="single" w:sz="8" w:space="0" w:color="D4E2F5"/>
          <w:right w:val="single" w:sz="8" w:space="0" w:color="D4E2F5"/>
          <w:insideH w:val="single" w:sz="8" w:space="0" w:color="D4E2F5"/>
          <w:insideV w:val="single" w:sz="8" w:space="0" w:color="D4E2F5"/>
        </w:tblBorders>
      </w:tblPr>
      <w:tblGrid>
        <w:gridCol w:w="3286"/>
        <w:gridCol w:w="3286"/>
        <w:gridCol w:w="3286"/>
      </w:tblGrid>
      <w:tr>
        <w:tc>
          <w:tcPr>
            <w:tcW w:type="dxa" w:w="3286"/>
            <w:tcMar>
              <w:top w:w="120" w:type="dxa"/>
              <w:start w:w="130" w:type="dxa"/>
              <w:bottom w:w="120" w:type="dxa"/>
              <w:end w:w="13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30"/>
              </w:rPr>
              <w:t>10 个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一级功能模块</w:t>
            </w:r>
          </w:p>
        </w:tc>
        <w:tc>
          <w:tcPr>
            <w:tcW w:type="dxa" w:w="3286"/>
            <w:tcMar>
              <w:top w:w="120" w:type="dxa"/>
              <w:start w:w="130" w:type="dxa"/>
              <w:bottom w:w="120" w:type="dxa"/>
              <w:end w:w="13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30"/>
              </w:rPr>
              <w:t>8 类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服务要求</w:t>
            </w:r>
          </w:p>
        </w:tc>
        <w:tc>
          <w:tcPr>
            <w:tcW w:type="dxa" w:w="3286"/>
            <w:tcMar>
              <w:top w:w="120" w:type="dxa"/>
              <w:start w:w="130" w:type="dxa"/>
              <w:bottom w:w="120" w:type="dxa"/>
              <w:end w:w="13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30"/>
              </w:rPr>
              <w:t>P0 / P1 / P2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优先级体系</w:t>
            </w:r>
          </w:p>
        </w:tc>
      </w:tr>
      <w:tr>
        <w:tc>
          <w:tcPr>
            <w:tcW w:type="dxa" w:w="3286"/>
            <w:tcMar>
              <w:top w:w="120" w:type="dxa"/>
              <w:start w:w="130" w:type="dxa"/>
              <w:bottom w:w="120" w:type="dxa"/>
              <w:end w:w="13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6"/>
              </w:rPr>
              <w:t>1000—1200 人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覆盖用户规模</w:t>
            </w:r>
          </w:p>
        </w:tc>
        <w:tc>
          <w:tcPr>
            <w:tcW w:type="dxa" w:w="3286"/>
            <w:tcMar>
              <w:top w:w="120" w:type="dxa"/>
              <w:start w:w="130" w:type="dxa"/>
              <w:bottom w:w="120" w:type="dxa"/>
              <w:end w:w="13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6"/>
              </w:rPr>
              <w:t>双端使用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手机端 + 管理端</w:t>
            </w:r>
          </w:p>
        </w:tc>
        <w:tc>
          <w:tcPr>
            <w:tcW w:type="dxa" w:w="3286"/>
            <w:tcMar>
              <w:top w:w="120" w:type="dxa"/>
              <w:start w:w="130" w:type="dxa"/>
              <w:bottom w:w="120" w:type="dxa"/>
              <w:end w:w="130" w:type="dxa"/>
            </w:tcMar>
            <w:shd w:fill="F8FBFE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6"/>
              </w:rPr>
              <w:t>分阶段建设</w:t>
              <w:br/>
            </w:r>
            <w:r>
              <w:rPr>
                <w:rFonts w:ascii="Noto Sans CJK SC" w:hAnsi="Noto Sans CJK SC" w:eastAsia="Noto Sans CJK SC"/>
                <w:b/>
                <w:i w:val="0"/>
                <w:color w:val="37474F"/>
                <w:sz w:val="20"/>
              </w:rPr>
              <w:t>先核心后增强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91" w:right="1134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Noto Sans CJK SC" w:hAnsi="Noto Sans CJK SC" w:eastAsia="Noto Sans CJK SC"/>
        <w:b w:val="0"/>
        <w:i w:val="0"/>
        <w:color w:val="606060"/>
        <w:sz w:val="17"/>
      </w:rPr>
      <w:t>供项目组内部沟通、设计与开发使用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oto Sans CJK SC" w:hAnsi="Noto Sans CJK SC" w:eastAsia="Noto Sans CJK SC"/>
        <w:b w:val="0"/>
        <w:i w:val="0"/>
        <w:color w:val="606060"/>
        <w:sz w:val="17"/>
      </w:rPr>
      <w:t>学院学生综合服务与党团管理平台｜需求文档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74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