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o="urn:schemas-microsoft-com:office:office" xmlns:v="urn:schemas-microsoft-com:vml"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000002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问基金-需求说明</w:t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bookmarkStart w:id="1" w:name="u1d5f1db6"/>
      <w:r>
        <w:rPr>
          <w:rFonts w:ascii="宋体" w:hAnsi="Times New Roman" w:eastAsia="宋体"/>
          <w:b w:val="0"/>
          <w:i w:val="0"/>
          <w:color w:val="808080"/>
          <w:sz w:val="22"/>
        </w:rPr>
        <w:t>版本：2026-07-09 ｜ 适用范围：问基金场景（单品解读 / 涨跌归因 / 基金对比 / 信息查询 / 条件推荐 / 非条件推荐）数据来源：后端 Step5（card-builder.js）+ 取数层（card-data-fetcher.js）对接方：前端渲染（小程序 / H5 / Web 共用同一 JSON 契约）</w:t>
      </w:r>
    </w:p>
    <w:p>
      <w:pPr>
        <w:spacing w:beforeLines="100" w:after="50" w:line="360" w:lineRule="auto"/>
        <w:ind w:left="0"/>
        <w:rPr/>
      </w:pPr>
      <w:bookmarkEnd w:id="1"/>
      <w:bookmarkStart w:id="2" w:name="MWUmI"/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4"/>
        <w:spacing w:beforeLines="100" w:after="50" w:line="360" w:lineRule="auto"/>
        <w:ind w:left="0"/>
        <w:jc w:val="left"/>
        <w:rPr/>
      </w:pPr>
      <w:bookmarkEnd w:id="2"/>
      <w:bookmarkStart w:id="3" w:name="cMTpt"/>
      <w:r>
        <w:rPr>
          <w:rFonts w:ascii="宋体" w:hAnsi="Times New Roman" w:eastAsia="宋体"/>
        </w:rPr>
        <w:t>需求说明</w:t>
      </w:r>
    </w:p>
    <w:p>
      <w:pPr>
        <w:pStyle w:val="000006"/>
        <w:spacing w:beforeLines="100" w:after="50" w:line="360" w:lineRule="auto"/>
        <w:ind w:left="0"/>
        <w:jc w:val="left"/>
        <w:rPr/>
      </w:pPr>
      <w:bookmarkEnd w:id="3"/>
      <w:bookmarkStart w:id="4" w:name="jVpke"/>
      <w:r>
        <w:rPr>
          <w:rFonts w:ascii="宋体" w:hAnsi="Times New Roman" w:eastAsia="宋体"/>
        </w:rPr>
        <w:t>预期效果</w:t>
      </w:r>
    </w:p>
    <w:p>
      <w:pPr>
        <w:spacing w:beforeLines="100" w:after="50" w:line="360" w:lineRule="auto"/>
        <w:ind w:left="0"/>
        <w:jc w:val="left"/>
        <w:rPr/>
      </w:pPr>
      <w:bookmarkEnd w:id="4"/>
      <w:bookmarkStart w:id="5" w:name="u58fae3b5"/>
      <w:r>
        <w:rPr>
          <w:rFonts w:ascii="宋体" w:hAnsi="Times New Roman" w:eastAsia="宋体"/>
          <w:b w:val="0"/>
          <w:i w:val="0"/>
          <w:color w:val="000000"/>
          <w:sz w:val="22"/>
        </w:rPr>
        <w:t>问基金意图分类6类：信息查询、单品解读、基金对比、涨跌归因、条件选基、非条件选基。</w:t>
      </w:r>
    </w:p>
    <w:p>
      <w:pPr>
        <w:spacing w:beforeLines="100" w:after="50" w:line="360" w:lineRule="auto"/>
        <w:ind w:left="0"/>
        <w:jc w:val="left"/>
        <w:rPr/>
      </w:pPr>
      <w:bookmarkEnd w:id="5"/>
      <w:bookmarkStart w:id="6" w:name="u00d0ec44"/>
      <w:r>
        <w:rPr>
          <w:rFonts w:ascii="宋体" w:hAnsi="Times New Roman" w:eastAsia="宋体"/>
          <w:b w:val="0"/>
          <w:i w:val="0"/>
          <w:color w:val="000000"/>
          <w:sz w:val="22"/>
        </w:rPr>
        <w:t>（1）信息查询、单品解读、基金对比、涨跌归因 返回的数据结构相同，</w:t>
      </w:r>
    </w:p>
    <w:p>
      <w:pPr>
        <w:spacing w:beforeLines="100" w:after="50" w:line="360" w:lineRule="auto"/>
        <w:ind w:left="0"/>
        <w:jc w:val="left"/>
        <w:rPr/>
      </w:pPr>
      <w:bookmarkEnd w:id="6"/>
      <w:bookmarkStart w:id="7" w:name="u1a002ca1"/>
      <w:r>
        <w:rPr>
          <w:rFonts w:ascii="宋体" w:hAnsi="Times New Roman" w:eastAsia="宋体"/>
          <w:b w:val="0"/>
          <w:i w:val="0"/>
          <w:color w:val="000000"/>
          <w:sz w:val="22"/>
        </w:rPr>
        <w:t>条件选基展示条件选基卡，非条件选基展示非条件选基卡。</w:t>
      </w:r>
    </w:p>
    <w:p>
      <w:pPr>
        <w:spacing w:beforeLines="100" w:after="50" w:line="360" w:lineRule="auto"/>
        <w:ind w:left="0"/>
        <w:jc w:val="left"/>
        <w:rPr/>
      </w:pPr>
      <w:bookmarkEnd w:id="7"/>
      <w:bookmarkStart w:id="8" w:name="uebd443b9"/>
      <w:r>
        <w:rPr>
          <w:rFonts w:ascii="宋体" w:hAnsi="Times New Roman" w:eastAsia="宋体"/>
          <w:b w:val="0"/>
          <w:i w:val="0"/>
          <w:color w:val="000000"/>
          <w:sz w:val="22"/>
        </w:rPr>
        <w:t>（2）一句话说清楚：</w:t>
      </w:r>
    </w:p>
    <w:p>
      <w:pPr>
        <w:spacing w:beforeLines="100" w:after="50" w:line="360" w:lineRule="auto"/>
        <w:ind w:left="0"/>
        <w:jc w:val="left"/>
        <w:rPr/>
      </w:pPr>
      <w:bookmarkEnd w:id="8"/>
      <w:bookmarkStart w:id="9" w:name="u5a18bc20"/>
      <w:r>
        <w:rPr>
          <w:rFonts w:ascii="宋体" w:hAnsi="Times New Roman" w:eastAsia="宋体"/>
          <w:b w:val="1"/>
          <w:i w:val="0"/>
          <w:color w:val="000000"/>
          <w:sz w:val="22"/>
        </w:rPr>
        <w:t>单品解读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最丰富，type包含risk、performance、fee等业务块，关联cardID召回图表卡。</w:t>
      </w:r>
    </w:p>
    <w:p>
      <w:pPr>
        <w:spacing w:beforeLines="100" w:after="50" w:line="360" w:lineRule="auto"/>
        <w:ind w:left="0"/>
        <w:jc w:val="left"/>
        <w:rPr/>
      </w:pPr>
      <w:bookmarkEnd w:id="9"/>
      <w:bookmarkStart w:id="10" w:name="dWQp7"/>
      <w:bookmarkStart w:id="11" w:name="u88b18e80"/>
      <w:r>
        <w:rPr>
          <w:rFonts w:ascii="宋体" w:eastAsia="宋体"/>
        </w:rPr>
        <w:drawing>
          <wp:inline distT="0" distB="0" distL="0" distR="0">
            <wp:extent cx="1253067" cy="3924352"/>
            <wp:effectExtent l="0" t="0" r="0" b="0"/>
            <wp:docPr id="2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3067" cy="39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bookmarkStart w:id="12" w:name="u7568733c"/>
      <w:r>
        <w:rPr>
          <w:rFonts w:ascii="宋体" w:eastAsia="宋体"/>
        </w:rPr>
        <w:drawing>
          <wp:inline distT="0" distB="0" distL="0" distR="0">
            <wp:extent cx="1676400" cy="3463892"/>
            <wp:effectExtent l="0" t="0" r="0" b="0"/>
            <wp:docPr id="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6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  <w:bookmarkStart w:id="13" w:name="u9cfc131a"/>
      <w:r>
        <w:rPr>
          <w:rFonts w:ascii="宋体" w:eastAsia="宋体"/>
        </w:rPr>
        <w:drawing>
          <wp:inline distT="0" distB="0" distL="0" distR="0">
            <wp:extent cx="1710267" cy="3581004"/>
            <wp:effectExtent l="0" t="0" r="0" b="0"/>
            <wp:docPr id="8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0267" cy="358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>
      <w:pPr>
        <w:spacing w:beforeLines="100" w:after="50" w:line="360" w:lineRule="auto"/>
        <w:ind w:left="0"/>
        <w:jc w:val="left"/>
        <w:rPr/>
      </w:pPr>
      <w:bookmarkEnd w:id="11"/>
      <w:bookmarkStart w:id="14" w:name="uac588958"/>
      <w:r>
        <w:rPr>
          <w:rFonts w:ascii="宋体" w:hAnsi="Times New Roman" w:eastAsia="宋体"/>
          <w:b w:val="0"/>
          <w:i w:val="0"/>
          <w:color w:val="000000"/>
          <w:sz w:val="22"/>
        </w:rPr>
        <w:t>表达排列方式：总-分-总的结构</w:t>
      </w:r>
    </w:p>
    <w:p>
      <w:pPr>
        <w:spacing w:beforeLines="100" w:after="50" w:line="360" w:lineRule="auto"/>
        <w:ind w:left="0"/>
        <w:jc w:val="left"/>
        <w:rPr/>
      </w:pPr>
      <w:bookmarkEnd w:id="14"/>
      <w:bookmarkStart w:id="15" w:name="ua56d6635"/>
      <w:r>
        <w:rPr>
          <w:rFonts w:ascii="宋体" w:hAnsi="Times New Roman" w:eastAsia="宋体"/>
          <w:b w:val="0"/>
          <w:i w:val="0"/>
          <w:color w:val="000000"/>
          <w:sz w:val="22"/>
        </w:rPr>
        <w:t>-summary 开头概要段，特殊段落颜色</w:t>
      </w:r>
    </w:p>
    <w:p>
      <w:pPr>
        <w:spacing w:beforeLines="100" w:after="50" w:line="360" w:lineRule="auto"/>
        <w:ind w:left="0"/>
        <w:jc w:val="left"/>
        <w:rPr/>
      </w:pPr>
      <w:bookmarkEnd w:id="15"/>
      <w:bookmarkStart w:id="16" w:name="ua9b79da9"/>
      <w:r>
        <w:rPr>
          <w:rFonts w:ascii="宋体" w:hAnsi="Times New Roman" w:eastAsia="宋体"/>
          <w:b w:val="0"/>
          <w:i w:val="0"/>
          <w:color w:val="000000"/>
          <w:sz w:val="22"/>
        </w:rPr>
        <w:t>-分维度：（performance、risk、fee、holding、manager等12个维度块，每个维度有对应卡片）</w:t>
      </w:r>
    </w:p>
    <w:p>
      <w:pPr>
        <w:spacing w:beforeLines="100" w:after="50" w:line="360" w:lineRule="auto"/>
        <w:ind w:left="0"/>
        <w:jc w:val="left"/>
        <w:rPr/>
      </w:pPr>
      <w:bookmarkEnd w:id="16"/>
      <w:bookmarkStart w:id="17" w:name="u84f539c0"/>
      <w:r>
        <w:rPr>
          <w:rFonts w:ascii="宋体" w:hAnsi="Times New Roman" w:eastAsia="宋体"/>
          <w:b w:val="0"/>
          <w:i w:val="0"/>
          <w:color w:val="000000"/>
          <w:sz w:val="22"/>
        </w:rPr>
        <w:t>-conclusion 结尾结论段，特殊段落样式</w:t>
      </w:r>
    </w:p>
    <w:p>
      <w:pPr>
        <w:spacing w:beforeLines="100" w:after="50" w:line="360" w:lineRule="auto"/>
        <w:ind w:left="0"/>
        <w:jc w:val="left"/>
        <w:rPr/>
      </w:pPr>
      <w:bookmarkEnd w:id="17"/>
      <w:bookmarkStart w:id="18" w:name="uedced009"/>
      <w:bookmarkEnd w:id="18"/>
      <w:bookmarkStart w:id="19" w:name="u1f46076c"/>
      <w:r>
        <w:rPr>
          <w:rFonts w:ascii="宋体" w:hAnsi="Times New Roman" w:eastAsia="宋体"/>
          <w:b w:val="1"/>
          <w:i w:val="0"/>
          <w:color w:val="000000"/>
          <w:sz w:val="22"/>
        </w:rPr>
        <w:t>基金对比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，对比模式专属段落：style、dimension、decision-tree</w:t>
      </w:r>
    </w:p>
    <w:p>
      <w:pPr>
        <w:spacing w:beforeLines="100" w:after="50" w:line="360" w:lineRule="auto"/>
        <w:ind w:left="0"/>
        <w:jc w:val="left"/>
        <w:rPr/>
      </w:pPr>
      <w:bookmarkEnd w:id="19"/>
      <w:bookmarkStart w:id="20" w:name="SgyQJ"/>
      <w:bookmarkStart w:id="21" w:name="u52117673"/>
      <w:r>
        <w:rPr>
          <w:rFonts w:ascii="宋体" w:eastAsia="宋体"/>
        </w:rPr>
        <w:drawing>
          <wp:inline distT="0" distB="0" distL="0" distR="0">
            <wp:extent cx="1066800" cy="3490860"/>
            <wp:effectExtent l="0" t="0" r="0" b="0"/>
            <wp:docPr id="1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49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  <w:bookmarkStart w:id="22" w:name="uf94eee5a"/>
      <w:r>
        <w:rPr>
          <w:rFonts w:ascii="宋体" w:eastAsia="宋体"/>
        </w:rPr>
        <w:drawing>
          <wp:inline distT="0" distB="0" distL="0" distR="0">
            <wp:extent cx="1320800" cy="3450600"/>
            <wp:effectExtent l="0" t="0" r="0" b="0"/>
            <wp:docPr id="14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345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  <w:bookmarkStart w:id="23" w:name="u7c7856bb"/>
      <w:r>
        <w:rPr>
          <w:rFonts w:ascii="宋体" w:eastAsia="宋体"/>
        </w:rPr>
        <w:drawing>
          <wp:inline distT="0" distB="0" distL="0" distR="0">
            <wp:extent cx="1473200" cy="3527269"/>
            <wp:effectExtent l="0" t="0" r="0" b="0"/>
            <wp:docPr id="1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35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>
      <w:pPr>
        <w:spacing w:beforeLines="100" w:after="50" w:line="360" w:lineRule="auto"/>
        <w:ind w:left="0"/>
        <w:jc w:val="left"/>
        <w:rPr/>
      </w:pPr>
      <w:bookmarkEnd w:id="21"/>
      <w:bookmarkStart w:id="24" w:name="u7e63787a"/>
      <w:r>
        <w:rPr>
          <w:rFonts w:ascii="宋体" w:hAnsi="Times New Roman" w:eastAsia="宋体"/>
          <w:b w:val="1"/>
          <w:i w:val="0"/>
          <w:color w:val="000000"/>
          <w:sz w:val="22"/>
        </w:rPr>
        <w:t>信息查询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，根据用户query查询对应业务块以及cardID</w:t>
      </w:r>
    </w:p>
    <w:p>
      <w:pPr>
        <w:spacing w:beforeLines="100" w:after="50" w:line="360" w:lineRule="auto"/>
        <w:ind w:left="0"/>
        <w:jc w:val="left"/>
        <w:rPr/>
      </w:pPr>
      <w:bookmarkEnd w:id="24"/>
      <w:bookmarkStart w:id="25" w:name="ub6c561c5"/>
      <w:bookmarkStart w:id="26" w:name="ua5162703"/>
      <w:r>
        <w:rPr>
          <w:rFonts w:ascii="宋体" w:eastAsia="宋体"/>
        </w:rPr>
        <w:drawing>
          <wp:inline distT="0" distB="0" distL="0" distR="0">
            <wp:extent cx="1998133" cy="1719336"/>
            <wp:effectExtent l="0" t="0" r="0" b="0"/>
            <wp:docPr id="20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8133" cy="171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"/>
    </w:p>
    <w:p>
      <w:pPr>
        <w:spacing w:beforeLines="100" w:after="50" w:line="360" w:lineRule="auto"/>
        <w:ind w:left="0"/>
        <w:jc w:val="left"/>
        <w:rPr/>
      </w:pPr>
      <w:bookmarkEnd w:id="26"/>
      <w:bookmarkStart w:id="27" w:name="u04a51053"/>
      <w:r>
        <w:rPr>
          <w:rFonts w:ascii="宋体" w:hAnsi="Times New Roman" w:eastAsia="宋体"/>
          <w:b w:val="1"/>
          <w:i w:val="0"/>
          <w:color w:val="000000"/>
          <w:sz w:val="22"/>
        </w:rPr>
        <w:t>涨跌归因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，重点召回atrribution业务块，关联brison归因卡/campisi归因卡。</w:t>
      </w:r>
    </w:p>
    <w:p>
      <w:pPr>
        <w:spacing w:beforeLines="100" w:after="50" w:line="360" w:lineRule="auto"/>
        <w:ind w:left="0"/>
        <w:jc w:val="left"/>
        <w:rPr/>
      </w:pPr>
      <w:bookmarkEnd w:id="27"/>
      <w:bookmarkStart w:id="28" w:name="u168b74cb"/>
      <w:bookmarkStart w:id="29" w:name="u56380473"/>
      <w:r>
        <w:rPr>
          <w:rFonts w:ascii="宋体" w:eastAsia="宋体"/>
        </w:rPr>
        <w:drawing>
          <wp:inline distT="0" distB="0" distL="0" distR="0">
            <wp:extent cx="1100667" cy="3288480"/>
            <wp:effectExtent l="0" t="0" r="0" b="0"/>
            <wp:docPr id="2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0667" cy="32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>
      <w:pPr>
        <w:spacing w:beforeLines="100" w:after="50" w:line="360" w:lineRule="auto"/>
        <w:ind w:left="0"/>
        <w:jc w:val="left"/>
        <w:rPr/>
      </w:pPr>
      <w:bookmarkEnd w:id="29"/>
      <w:bookmarkStart w:id="30" w:name="u3772dfc6"/>
      <w:r>
        <w:rPr>
          <w:rFonts w:ascii="宋体" w:hAnsi="Times New Roman" w:eastAsia="宋体"/>
          <w:b w:val="1"/>
          <w:i w:val="0"/>
          <w:color w:val="000000"/>
          <w:sz w:val="22"/>
        </w:rPr>
        <w:t>条件选基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，召回条件选基卡，点击基金名称 默认进入该基金的单品解读问答。</w:t>
      </w:r>
    </w:p>
    <w:p>
      <w:pPr>
        <w:spacing w:beforeLines="100" w:after="50" w:line="360" w:lineRule="auto"/>
        <w:ind w:left="0"/>
        <w:jc w:val="left"/>
        <w:rPr/>
      </w:pPr>
      <w:bookmarkEnd w:id="30"/>
      <w:bookmarkStart w:id="31" w:name="ud807cd28"/>
      <w:r>
        <w:rPr>
          <w:rFonts w:ascii="宋体" w:hAnsi="Times New Roman" w:eastAsia="宋体"/>
          <w:b w:val="0"/>
          <w:i w:val="0"/>
          <w:color w:val="000000"/>
          <w:sz w:val="22"/>
        </w:rPr>
        <w:t>--精确条件：今年以来收益率&gt;30%的基金</w:t>
      </w:r>
    </w:p>
    <w:p>
      <w:pPr>
        <w:spacing w:beforeLines="100" w:after="50" w:line="360" w:lineRule="auto"/>
        <w:ind w:left="0"/>
        <w:jc w:val="left"/>
        <w:rPr/>
      </w:pPr>
      <w:bookmarkEnd w:id="31"/>
      <w:bookmarkStart w:id="32" w:name="u1b080605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select fundcode from MF_NetValuePerformance where </w:t>
      </w:r>
      <w:r>
        <w:rPr>
          <w:rFonts w:ascii="宋体" w:hAnsi="Times New Roman" w:eastAsia="宋体"/>
          <w:b w:val="0"/>
          <w:i w:val="0"/>
          <w:color w:val="333333"/>
          <w:sz w:val="21"/>
          <w:shd w:fill="fafafa"/>
        </w:rPr>
        <w:t>RRSinceThisYear &gt; 30%</w:t>
      </w:r>
    </w:p>
    <w:p>
      <w:pPr>
        <w:spacing w:beforeLines="100" w:after="50" w:line="360" w:lineRule="auto"/>
        <w:ind w:left="0"/>
        <w:jc w:val="left"/>
        <w:rPr/>
      </w:pPr>
      <w:bookmarkEnd w:id="32"/>
      <w:bookmarkStart w:id="33" w:name="ud11c8018"/>
      <w:r>
        <w:rPr>
          <w:rFonts w:ascii="宋体" w:hAnsi="Times New Roman" w:eastAsia="宋体"/>
          <w:b w:val="0"/>
          <w:i w:val="0"/>
          <w:color w:val="000000"/>
          <w:sz w:val="22"/>
        </w:rPr>
        <w:t>--模糊条件：表现比较好的基金</w:t>
      </w:r>
    </w:p>
    <w:p>
      <w:pPr>
        <w:spacing w:beforeLines="100" w:after="50" w:line="360" w:lineRule="auto"/>
        <w:ind w:left="0"/>
        <w:jc w:val="left"/>
        <w:rPr/>
      </w:pPr>
      <w:bookmarkEnd w:id="33"/>
      <w:bookmarkStart w:id="34" w:name="ub21b25a2"/>
      <w:bookmarkStart w:id="35" w:name="u7c4c805c"/>
      <w:r>
        <w:rPr>
          <w:rFonts w:ascii="宋体" w:eastAsia="宋体"/>
        </w:rPr>
        <w:drawing>
          <wp:inline distT="0" distB="0" distL="0" distR="0">
            <wp:extent cx="1320800" cy="3301110"/>
            <wp:effectExtent l="0" t="0" r="0" b="0"/>
            <wp:docPr id="26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33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>
      <w:pPr>
        <w:spacing w:beforeLines="100" w:after="50" w:line="360" w:lineRule="auto"/>
        <w:ind w:left="0"/>
        <w:jc w:val="left"/>
        <w:rPr/>
      </w:pPr>
      <w:bookmarkEnd w:id="35"/>
      <w:bookmarkStart w:id="36" w:name="uae01d6e3"/>
      <w:r>
        <w:rPr>
          <w:rFonts w:ascii="宋体" w:hAnsi="Times New Roman" w:eastAsia="宋体"/>
          <w:b w:val="1"/>
          <w:i w:val="0"/>
          <w:color w:val="000000"/>
          <w:sz w:val="22"/>
        </w:rPr>
        <w:t>非条件选基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，召回非条件选基卡，点击栏目跳转到对应投顾小程序“跟我选”页面。</w:t>
      </w:r>
    </w:p>
    <w:p>
      <w:pPr>
        <w:spacing w:beforeLines="100" w:after="50" w:line="360" w:lineRule="auto"/>
        <w:ind w:left="0"/>
        <w:jc w:val="left"/>
        <w:rPr/>
      </w:pPr>
      <w:bookmarkEnd w:id="36"/>
      <w:bookmarkStart w:id="37" w:name="ud21768c3"/>
      <w:r>
        <w:rPr>
          <w:rFonts w:ascii="宋体" w:hAnsi="Times New Roman" w:eastAsia="宋体"/>
          <w:b w:val="0"/>
          <w:i w:val="0"/>
          <w:color w:val="000000"/>
          <w:sz w:val="22"/>
        </w:rPr>
        <w:t>记录进入的页面，从ai顾问进入跟我选，点击跟我选页面左上角返回 应该返回到ai顾问。</w:t>
      </w:r>
    </w:p>
    <w:p>
      <w:pPr>
        <w:spacing w:beforeLines="100" w:after="50" w:line="360" w:lineRule="auto"/>
        <w:ind w:left="0"/>
        <w:jc w:val="left"/>
        <w:rPr/>
      </w:pPr>
      <w:bookmarkEnd w:id="37"/>
      <w:bookmarkStart w:id="38" w:name="u3427b91a"/>
      <w:bookmarkStart w:id="39" w:name="u4c9df04a"/>
      <w:r>
        <w:rPr>
          <w:rFonts w:ascii="宋体" w:eastAsia="宋体"/>
        </w:rPr>
        <w:drawing>
          <wp:inline distT="0" distB="0" distL="0" distR="0">
            <wp:extent cx="1659467" cy="1628566"/>
            <wp:effectExtent l="0" t="0" r="0" b="0"/>
            <wp:docPr id="29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9467" cy="16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  <w:bookmarkStart w:id="40" w:name="ufe828eba"/>
      <w:r>
        <w:rPr>
          <w:rFonts w:ascii="宋体" w:eastAsia="宋体"/>
        </w:rPr>
        <w:drawing>
          <wp:inline distT="0" distB="0" distL="0" distR="0">
            <wp:extent cx="1134533" cy="2118879"/>
            <wp:effectExtent l="0" t="0" r="0" b="0"/>
            <wp:docPr id="32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4533" cy="211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  <w:bookmarkStart w:id="41" w:name="u15f817d7"/>
      <w:r>
        <w:rPr>
          <w:rFonts w:ascii="宋体" w:eastAsia="宋体"/>
        </w:rPr>
        <w:drawing>
          <wp:inline distT="0" distB="0" distL="0" distR="0">
            <wp:extent cx="1100667" cy="2073240"/>
            <wp:effectExtent l="0" t="0" r="0" b="0"/>
            <wp:docPr id="3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0667" cy="20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>
      <w:pPr>
        <w:pStyle w:val="000004"/>
        <w:spacing w:beforeLines="100" w:after="50" w:line="360" w:lineRule="auto"/>
        <w:ind w:left="0"/>
        <w:jc w:val="left"/>
        <w:rPr/>
      </w:pPr>
      <w:bookmarkEnd w:id="39"/>
      <w:bookmarkStart w:id="42" w:name="ibW2P"/>
      <w:r>
        <w:rPr>
          <w:rFonts w:ascii="宋体" w:hAnsi="Times New Roman" w:eastAsia="宋体"/>
        </w:rPr>
        <w:t>数据结构</w:t>
      </w:r>
    </w:p>
    <w:p>
      <w:pPr>
        <w:spacing w:beforeLines="100" w:after="50" w:line="360" w:lineRule="auto"/>
        <w:ind w:left="0"/>
        <w:jc w:val="left"/>
        <w:rPr/>
      </w:pPr>
      <w:bookmarkEnd w:id="42"/>
      <w:bookmarkStart w:id="43" w:name="ue2f037e8"/>
      <w:bookmarkStart w:id="44" w:name="uda42f069"/>
      <w:r>
        <w:rPr>
          <w:rFonts w:ascii="宋体" w:eastAsia="宋体"/>
        </w:rPr>
        <w:drawing>
          <wp:inline distT="0" distB="0" distL="0" distR="0">
            <wp:extent cx="4927600" cy="3867695"/>
            <wp:effectExtent l="0" t="0" r="0" b="0"/>
            <wp:docPr id="38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386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</w:p>
    <w:p>
      <w:pPr>
        <w:pStyle w:val="000006"/>
        <w:spacing w:beforeLines="100" w:after="50" w:line="360" w:lineRule="auto"/>
        <w:ind w:left="0"/>
        <w:jc w:val="left"/>
        <w:rPr/>
      </w:pPr>
      <w:bookmarkEnd w:id="44"/>
      <w:bookmarkStart w:id="45" w:name="IikIr"/>
      <w:r>
        <w:rPr>
          <w:rFonts w:ascii="宋体" w:hAnsi="Times New Roman" w:eastAsia="宋体"/>
        </w:rPr>
        <w:t>0. 数据流位置（后端链路）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bookmarkEnd w:id="45"/>
      <w:bookmarkStart w:id="46" w:name="El3S3"/>
      <w:r>
        <w:rPr>
          <w:rFonts w:ascii="宋体" w:hAnsi="Courier New" w:eastAsia="宋体"/>
          <w:color w:val="000000"/>
          <w:sz w:val="20"/>
        </w:rPr>
        <w:t>用户提问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→ Step1 任务规划 → Step2 工具选择 → Step3 数据翻译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→ Step4 数据提炼（选块 / 选指标 / 选组件 cardId[]）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→ Step5 表达层（本规范对象）  ←【前端消费的就是这里】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→ 前端渲染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bookmarkEnd w:id="46"/>
      <w:bookmarkStart w:id="47" w:name="ub9c047ac"/>
      <w:r>
        <w:rPr>
          <w:rFonts w:ascii="宋体" w:hAnsi="Times New Roman" w:eastAsia="宋体"/>
          <w:b w:val="1"/>
          <w:i w:val="0"/>
          <w:color w:val="000000"/>
          <w:sz w:val="22"/>
        </w:rPr>
        <w:t>前端只需对接一个对象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：Step5 的最终输出 JSON（见第 1 节）。前端不感知 Step1~Step4 内部细节，也不直接调 MCP。</w:t>
      </w:r>
    </w:p>
    <w:p>
      <w:pPr>
        <w:spacing w:beforeLines="100" w:after="50" w:line="360" w:lineRule="auto"/>
        <w:ind w:left="0"/>
        <w:rPr/>
      </w:pPr>
      <w:bookmarkEnd w:id="47"/>
      <w:bookmarkStart w:id="48" w:name="TmKnV"/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bookmarkEnd w:id="48"/>
      <w:bookmarkStart w:id="49" w:name="N7INn"/>
      <w:r>
        <w:rPr>
          <w:rFonts w:ascii="宋体" w:hAnsi="Times New Roman" w:eastAsia="宋体"/>
        </w:rPr>
        <w:t>1. 顶层响应结构（必须消费）</w:t>
      </w:r>
    </w:p>
    <w:p>
      <w:pPr>
        <w:spacing w:beforeLines="100" w:after="50" w:line="360" w:lineRule="auto"/>
        <w:ind w:left="0"/>
        <w:jc w:val="left"/>
        <w:rPr/>
      </w:pPr>
      <w:bookmarkEnd w:id="49"/>
      <w:bookmarkStart w:id="50" w:name="u40a4ca24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后端接口（如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/api/step5/execute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）返回如下结构，前端按字段渲染：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bookmarkEnd w:id="50"/>
      <w:bookmarkStart w:id="51" w:name="Ve1zs"/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"version": "2.2",                          // ✅ 协议版本号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"meta":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"scene": "问基金",                       // ✅ 五大场景：问基金|问市场|问策略|问账户|问投教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"intent": "single",                      // ✅ 场景内意图枚举（见下）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===== 以下为「场景可选字段」，按 scene 输出/省略，不影响结构 =====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—— 问基金 ——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"framework": "股票",                     // ⚪ 仅问基金：研究框架，卡内单位/口径提示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"funds": [                              // ⚪ 主对象（单品/归因/对比/查询）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"fundCode": "018125", "fundName": "永赢先进制造智选混合C"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"compare": {                            // ⚪ intent=compare 时存在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"fundA": { "fundCode": "018125", "fundName": "永赢先进制造智选混合C"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"fundB": { "fundCode": "016873", "fundName": "广发远见智选混合A"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"queryConditions": {                    // ⚪ intent=recommend_conditional 时存在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"riskLevel": "R4", "minReturn1y": 8, "maxDrawdown": 10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—— 问市场（示例，待定义）——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"indices": [...], "sectors": [...], "timeRange": "today",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—— 问策略（示例，待定义）——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"strategy": "...", "horizon": "1y",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—— 问账户 ——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"accountId": "...", "period": "近1月",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—— 问投教 ——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// "kbDocId": "...", "category": "..."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"sections": [                             // ✅ 段落数组：文字 + 图表引用，按序从上到下渲染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"type": "summary",                    // ✅ 段落类型（注册式，见注册表）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"title": "...",                       // ⚪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"oneLiner": "...",                    // ⚪ 一句话结论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"narrative": "...",                   // ⚪ 文字内容（markdown）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"cardId": "FRT02",                    // ⚪ 关联 cards[] 中的卡片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"highlightMetrics": [...]             // ⚪ 高亮指标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// 其他 type 专属字段：conclusion 段有 investmentAdvice/analysisText 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"cards": [                                // ✅ 卡片数组：纯数据，前端靠 section.cardId 关联取用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"cardId": "FRT02",                    // ✅ 卡片唯一标识（前缀命名空间，见下）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"dataMode": "deferred"                // ✅ 卡片取数方式，deferred由mcp传入，inline直接渲染api数据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"data": { "...": "..." },             // ✅ 卡片纯数据（props=data 传入组件）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"companionCardIds": ["FRT03"]         // ⚪ 附属卡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"risk_warning": "基金过往业绩不代表未来表现，投资有风险。",  // ✅ 必选（合规刚需，每场景都有）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"followUp": ["回撤情况怎么样？", "经理是谁？"]              // ✅ 必选（可空数组 []）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08"/>
        <w:spacing w:beforeLines="100" w:after="50" w:line="360" w:lineRule="auto"/>
        <w:ind w:left="0"/>
        <w:jc w:val="left"/>
        <w:rPr/>
      </w:pPr>
      <w:bookmarkEnd w:id="51"/>
      <w:bookmarkStart w:id="52" w:name="JofTv"/>
      <w:r>
        <w:rPr>
          <w:rFonts w:ascii="宋体" w:hAnsi="Times New Roman" w:eastAsia="宋体"/>
        </w:rPr>
        <w:t xml:space="preserve">1.1 </w:t>
      </w:r>
      <w:r>
        <w:rPr>
          <w:rFonts w:ascii="宋体" w:hAnsi="Courier New" w:eastAsia="宋体"/>
        </w:rPr>
        <w:t>meta.intent</w:t>
      </w:r>
      <w:r>
        <w:rPr>
          <w:rFonts w:ascii="宋体" w:hAnsi="Times New Roman" w:eastAsia="宋体"/>
        </w:rPr>
        <w:t xml:space="preserve"> 六值枚举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770"/>
        <w:gridCol w:w="3074"/>
        <w:gridCol w:w="3110"/>
        <w:gridCol w:w="3680"/>
      </w:tblGrid>
      <w:tr>
        <w:trPr>
          <w:trHeight w:val="495" w:hRule="atLeast"/>
        </w:trPr>
        <w:tc>
          <w:tcPr>
            <w:tcW w:w="3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intent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值</w:t>
            </w:r>
          </w:p>
        </w:tc>
        <w:tc>
          <w:tcPr>
            <w:tcW w:w="30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中文</w:t>
            </w:r>
          </w:p>
        </w:tc>
        <w:tc>
          <w:tcPr>
            <w:tcW w:w="31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渲染骨架</w:t>
            </w:r>
          </w:p>
        </w:tc>
        <w:tc>
          <w:tcPr>
            <w:tcW w:w="36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3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single</w:t>
            </w:r>
          </w:p>
        </w:tc>
        <w:tc>
          <w:tcPr>
            <w:tcW w:w="30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单品解读</w:t>
            </w:r>
          </w:p>
        </w:tc>
        <w:tc>
          <w:tcPr>
            <w:tcW w:w="31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单基金详情流</w:t>
            </w:r>
          </w:p>
        </w:tc>
        <w:tc>
          <w:tcPr>
            <w:tcW w:w="36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一只基金的全面解读（基线形态）</w:t>
            </w:r>
          </w:p>
        </w:tc>
      </w:tr>
      <w:tr>
        <w:trPr>
          <w:trHeight w:val="495" w:hRule="atLeast"/>
        </w:trPr>
        <w:tc>
          <w:tcPr>
            <w:tcW w:w="3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attribution</w:t>
            </w:r>
          </w:p>
        </w:tc>
        <w:tc>
          <w:tcPr>
            <w:tcW w:w="30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涨跌归因</w:t>
            </w:r>
          </w:p>
        </w:tc>
        <w:tc>
          <w:tcPr>
            <w:tcW w:w="31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单基金 + 归因主导</w:t>
            </w:r>
          </w:p>
        </w:tc>
        <w:tc>
          <w:tcPr>
            <w:tcW w:w="36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复用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attribution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段（FRT05），后端喂更丰富的 campisi/行业/择时数据</w:t>
            </w:r>
          </w:p>
        </w:tc>
      </w:tr>
      <w:tr>
        <w:trPr>
          <w:trHeight w:val="495" w:hRule="atLeast"/>
        </w:trPr>
        <w:tc>
          <w:tcPr>
            <w:tcW w:w="3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compare</w:t>
            </w:r>
          </w:p>
        </w:tc>
        <w:tc>
          <w:tcPr>
            <w:tcW w:w="30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基金对比</w:t>
            </w:r>
          </w:p>
        </w:tc>
        <w:tc>
          <w:tcPr>
            <w:tcW w:w="31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对比流（双列/对照）</w:t>
            </w:r>
          </w:p>
        </w:tc>
        <w:tc>
          <w:tcPr>
            <w:tcW w:w="36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双基金已知，用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meta.compare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承载</w:t>
            </w:r>
          </w:p>
        </w:tc>
      </w:tr>
      <w:tr>
        <w:trPr>
          <w:trHeight w:val="495" w:hRule="atLeast"/>
        </w:trPr>
        <w:tc>
          <w:tcPr>
            <w:tcW w:w="3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info_query</w:t>
            </w:r>
          </w:p>
        </w:tc>
        <w:tc>
          <w:tcPr>
            <w:tcW w:w="30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信息查询</w:t>
            </w:r>
          </w:p>
        </w:tc>
        <w:tc>
          <w:tcPr>
            <w:tcW w:w="31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短回答 + 数据卡</w:t>
            </w:r>
          </w:p>
        </w:tc>
        <w:tc>
          <w:tcPr>
            <w:tcW w:w="36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定向提问，段落更少</w:t>
            </w:r>
          </w:p>
        </w:tc>
      </w:tr>
      <w:tr>
        <w:trPr>
          <w:trHeight w:val="495" w:hRule="atLeast"/>
        </w:trPr>
        <w:tc>
          <w:tcPr>
            <w:tcW w:w="3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recommend_conditional</w:t>
            </w:r>
          </w:p>
        </w:tc>
        <w:tc>
          <w:tcPr>
            <w:tcW w:w="30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条件推荐</w:t>
            </w:r>
          </w:p>
        </w:tc>
        <w:tc>
          <w:tcPr>
            <w:tcW w:w="31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推荐列表 + 条件回显</w:t>
            </w:r>
          </w:p>
        </w:tc>
        <w:tc>
          <w:tcPr>
            <w:tcW w:w="36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N 只基金，展示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meta.queryConditions</w:t>
            </w:r>
          </w:p>
        </w:tc>
      </w:tr>
      <w:tr>
        <w:trPr>
          <w:trHeight w:val="495" w:hRule="atLeast"/>
        </w:trPr>
        <w:tc>
          <w:tcPr>
            <w:tcW w:w="37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recommend_unconditional</w:t>
            </w:r>
          </w:p>
        </w:tc>
        <w:tc>
          <w:tcPr>
            <w:tcW w:w="30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非条件推荐</w:t>
            </w:r>
          </w:p>
        </w:tc>
        <w:tc>
          <w:tcPr>
            <w:tcW w:w="31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推荐列表</w:t>
            </w:r>
          </w:p>
        </w:tc>
        <w:tc>
          <w:tcPr>
            <w:tcW w:w="36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 只基金，无条件下</w:t>
            </w:r>
          </w:p>
        </w:tc>
      </w:tr>
    </w:tbl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808080"/>
          <w:sz w:val="22"/>
        </w:rPr>
        <w:t>intent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决定前端整体骨架；</w:t>
      </w:r>
      <w:r>
        <w:rPr>
          <w:rFonts w:ascii="宋体" w:hAnsi="Courier New" w:eastAsia="宋体"/>
          <w:b w:val="0"/>
          <w:i w:val="0"/>
          <w:color w:val="808080"/>
          <w:sz w:val="22"/>
        </w:rPr>
        <w:t>meta.funds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meta.compare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meta.queryConditions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为对应意图的补充上下文。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1.2 结构扩展原则（为什么只有「推荐」需要扩展）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基线契约按 </w:t>
      </w:r>
      <w:r>
        <w:rPr>
          <w:rFonts w:ascii="宋体" w:hAnsi="Times New Roman" w:eastAsia="宋体"/>
          <w:b w:val="1"/>
          <w:i w:val="0"/>
          <w:color w:val="000000"/>
          <w:sz w:val="22"/>
        </w:rPr>
        <w:t>「分析一只基金」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设计：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sections[]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描述这一只基金，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cards[]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是其图表，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meta.funds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仅一个条目。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676"/>
        <w:gridCol w:w="647"/>
        <w:gridCol w:w="8486"/>
        <w:gridCol w:w="1007"/>
        <w:gridCol w:w="2818"/>
      </w:tblGrid>
      <w:tr>
        <w:trPr>
          <w:trHeight w:val="495" w:hRule="atLeast"/>
        </w:trPr>
        <w:tc>
          <w:tcPr>
            <w:tcW w:w="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意图</w:t>
            </w:r>
          </w:p>
        </w:tc>
        <w:tc>
          <w:tcPr>
            <w:tcW w:w="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基金数</w:t>
            </w:r>
          </w:p>
        </w:tc>
        <w:tc>
          <w:tcPr>
            <w:tcW w:w="84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新段落类型?</w:t>
            </w:r>
          </w:p>
        </w:tc>
        <w:tc>
          <w:tcPr>
            <w:tcW w:w="10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是否破坏基线</w:t>
            </w:r>
          </w:p>
        </w:tc>
        <w:tc>
          <w:tcPr>
            <w:tcW w:w="28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处理方式</w:t>
            </w:r>
          </w:p>
        </w:tc>
      </w:tr>
      <w:tr>
        <w:trPr>
          <w:trHeight w:val="495" w:hRule="atLeast"/>
        </w:trPr>
        <w:tc>
          <w:tcPr>
            <w:tcW w:w="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单品解读</w:t>
            </w:r>
          </w:p>
        </w:tc>
        <w:tc>
          <w:tcPr>
            <w:tcW w:w="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4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无（基线）</w:t>
            </w:r>
          </w:p>
        </w:tc>
        <w:tc>
          <w:tcPr>
            <w:tcW w:w="10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否</w:t>
            </w:r>
          </w:p>
        </w:tc>
        <w:tc>
          <w:tcPr>
            <w:tcW w:w="28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直接消费</w:t>
            </w:r>
          </w:p>
        </w:tc>
      </w:tr>
      <w:tr>
        <w:trPr>
          <w:trHeight w:val="495" w:hRule="atLeast"/>
        </w:trPr>
        <w:tc>
          <w:tcPr>
            <w:tcW w:w="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涨跌归因</w:t>
            </w:r>
          </w:p>
        </w:tc>
        <w:tc>
          <w:tcPr>
            <w:tcW w:w="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4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无（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attribution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段已存在）</w:t>
            </w:r>
          </w:p>
        </w:tc>
        <w:tc>
          <w:tcPr>
            <w:tcW w:w="10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否</w:t>
            </w:r>
          </w:p>
        </w:tc>
        <w:tc>
          <w:tcPr>
            <w:tcW w:w="28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复用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attribution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段，后端 scenario 增强数据源</w:t>
            </w:r>
          </w:p>
        </w:tc>
      </w:tr>
      <w:tr>
        <w:trPr>
          <w:trHeight w:val="495" w:hRule="atLeast"/>
        </w:trPr>
        <w:tc>
          <w:tcPr>
            <w:tcW w:w="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基金对比</w:t>
            </w:r>
          </w:p>
        </w:tc>
        <w:tc>
          <w:tcPr>
            <w:tcW w:w="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2（有界）</w:t>
            </w:r>
          </w:p>
        </w:tc>
        <w:tc>
          <w:tcPr>
            <w:tcW w:w="84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无（style_label/dimension/compare_table/decision_tree/common_risk 已存在）</w:t>
            </w:r>
          </w:p>
        </w:tc>
        <w:tc>
          <w:tcPr>
            <w:tcW w:w="10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否</w:t>
            </w:r>
          </w:p>
        </w:tc>
        <w:tc>
          <w:tcPr>
            <w:tcW w:w="28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复用已有对比段 +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meta.compare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；dimension 段对比模式不挂卡，可视化由 FRT06 承载</w:t>
            </w:r>
          </w:p>
        </w:tc>
      </w:tr>
      <w:tr>
        <w:trPr>
          <w:trHeight w:val="495" w:hRule="atLeast"/>
        </w:trPr>
        <w:tc>
          <w:tcPr>
            <w:tcW w:w="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信息查询</w:t>
            </w:r>
          </w:p>
        </w:tc>
        <w:tc>
          <w:tcPr>
            <w:tcW w:w="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84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无</w:t>
            </w:r>
          </w:p>
        </w:tc>
        <w:tc>
          <w:tcPr>
            <w:tcW w:w="10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否</w:t>
            </w:r>
          </w:p>
        </w:tc>
        <w:tc>
          <w:tcPr>
            <w:tcW w:w="28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复用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info_query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段</w:t>
            </w:r>
          </w:p>
        </w:tc>
      </w:tr>
      <w:tr>
        <w:trPr>
          <w:trHeight w:val="495" w:hRule="atLeast"/>
        </w:trPr>
        <w:tc>
          <w:tcPr>
            <w:tcW w:w="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条件推荐</w:t>
            </w:r>
          </w:p>
        </w:tc>
        <w:tc>
          <w:tcPr>
            <w:tcW w:w="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N</w:t>
            </w:r>
          </w:p>
        </w:tc>
        <w:tc>
          <w:tcPr>
            <w:tcW w:w="84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 xml:space="preserve">是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recommendation_list</w:t>
            </w:r>
          </w:p>
        </w:tc>
        <w:tc>
          <w:tcPr>
            <w:tcW w:w="10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是（基数 1→N）</w:t>
            </w:r>
          </w:p>
        </w:tc>
        <w:tc>
          <w:tcPr>
            <w:tcW w:w="28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新增列表段承载多只基金</w:t>
            </w:r>
          </w:p>
        </w:tc>
      </w:tr>
      <w:tr>
        <w:trPr>
          <w:trHeight w:val="495" w:hRule="atLeast"/>
        </w:trPr>
        <w:tc>
          <w:tcPr>
            <w:tcW w:w="67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非条件推荐</w:t>
            </w:r>
          </w:p>
        </w:tc>
        <w:tc>
          <w:tcPr>
            <w:tcW w:w="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N</w:t>
            </w:r>
          </w:p>
        </w:tc>
        <w:tc>
          <w:tcPr>
            <w:tcW w:w="84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 xml:space="preserve">是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recommendation_list</w:t>
            </w:r>
          </w:p>
        </w:tc>
        <w:tc>
          <w:tcPr>
            <w:tcW w:w="100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是（基数 1→N）</w:t>
            </w:r>
          </w:p>
        </w:tc>
        <w:tc>
          <w:tcPr>
            <w:tcW w:w="28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同上，无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queryConditions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结论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：六个意图中，只有「推荐」破坏了「subject = 1 只基金」的基数假设，必须扩展（新增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recommendation_list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段 + 顶层多基金列表）。其余意图均复用已有段落类型与单基金骨架。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1.3 顶层字段表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468"/>
        <w:gridCol w:w="3421"/>
        <w:gridCol w:w="3137"/>
        <w:gridCol w:w="3608"/>
      </w:tblGrid>
      <w:tr>
        <w:trPr>
          <w:trHeight w:val="495" w:hRule="atLeast"/>
        </w:trPr>
        <w:tc>
          <w:tcPr>
            <w:tcW w:w="3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34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3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必填</w:t>
            </w:r>
          </w:p>
        </w:tc>
        <w:tc>
          <w:tcPr>
            <w:tcW w:w="3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3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version</w:t>
            </w:r>
          </w:p>
        </w:tc>
        <w:tc>
          <w:tcPr>
            <w:tcW w:w="34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3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w="3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契约版本，当前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"2.0"</w:t>
            </w:r>
          </w:p>
        </w:tc>
      </w:tr>
      <w:tr>
        <w:trPr>
          <w:trHeight w:val="495" w:hRule="atLeast"/>
        </w:trPr>
        <w:tc>
          <w:tcPr>
            <w:tcW w:w="3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meta</w:t>
            </w:r>
          </w:p>
        </w:tc>
        <w:tc>
          <w:tcPr>
            <w:tcW w:w="34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object</w:t>
            </w:r>
          </w:p>
        </w:tc>
        <w:tc>
          <w:tcPr>
            <w:tcW w:w="3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w="3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意图与上下文，见 1.1</w:t>
            </w:r>
          </w:p>
        </w:tc>
      </w:tr>
      <w:tr>
        <w:trPr>
          <w:trHeight w:val="495" w:hRule="atLeast"/>
        </w:trPr>
        <w:tc>
          <w:tcPr>
            <w:tcW w:w="3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sections</w:t>
            </w:r>
          </w:p>
        </w:tc>
        <w:tc>
          <w:tcPr>
            <w:tcW w:w="34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</w:t>
            </w:r>
          </w:p>
        </w:tc>
        <w:tc>
          <w:tcPr>
            <w:tcW w:w="3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w="3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核心渲染单元，</w:t>
            </w: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顺序即展示顺序</w:t>
            </w:r>
          </w:p>
        </w:tc>
      </w:tr>
      <w:tr>
        <w:trPr>
          <w:trHeight w:val="495" w:hRule="atLeast"/>
        </w:trPr>
        <w:tc>
          <w:tcPr>
            <w:tcW w:w="3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cards</w:t>
            </w:r>
          </w:p>
        </w:tc>
        <w:tc>
          <w:tcPr>
            <w:tcW w:w="34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</w:t>
            </w:r>
          </w:p>
        </w:tc>
        <w:tc>
          <w:tcPr>
            <w:tcW w:w="3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w="3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卡片数据池，被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sections[].cardId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引用</w:t>
            </w:r>
          </w:p>
        </w:tc>
      </w:tr>
      <w:tr>
        <w:trPr>
          <w:trHeight w:val="495" w:hRule="atLeast"/>
        </w:trPr>
        <w:tc>
          <w:tcPr>
            <w:tcW w:w="3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risk_warning</w:t>
            </w:r>
          </w:p>
        </w:tc>
        <w:tc>
          <w:tcPr>
            <w:tcW w:w="34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3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w="3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标准风险提示，固定文案，需展示在回答底部</w:t>
            </w:r>
          </w:p>
        </w:tc>
      </w:tr>
      <w:tr>
        <w:trPr>
          <w:trHeight w:val="495" w:hRule="atLeast"/>
        </w:trPr>
        <w:tc>
          <w:tcPr>
            <w:tcW w:w="34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followUp</w:t>
            </w:r>
          </w:p>
        </w:tc>
        <w:tc>
          <w:tcPr>
            <w:tcW w:w="34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array[string]</w:t>
            </w:r>
          </w:p>
        </w:tc>
        <w:tc>
          <w:tcPr>
            <w:tcW w:w="31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✅</w:t>
            </w:r>
          </w:p>
        </w:tc>
        <w:tc>
          <w:tcPr>
            <w:tcW w:w="3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追问建议，通常 1~3 条，渲染为可点击 chips</w:t>
            </w:r>
          </w:p>
        </w:tc>
      </w:tr>
    </w:tbl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1.4 前端渲染原则</w:t>
      </w:r>
    </w:p>
    <w:p>
      <w:pPr>
        <w:numPr>
          <w:ilvl w:val="0"/>
          <w:numId w:val="1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消费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sections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+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cards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（唯一权威源）。</w:t>
      </w:r>
    </w:p>
    <w:p>
      <w:pPr>
        <w:numPr>
          <w:ilvl w:val="0"/>
          <w:numId w:val="2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按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meta.intent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选择整体骨架（单基金流 / 对比流 / 推荐流）。</w:t>
      </w:r>
    </w:p>
    <w:p>
      <w:pPr>
        <w:numPr>
          <w:ilvl w:val="0"/>
          <w:numId w:val="3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sections[]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宋体" w:hAnsi="Times New Roman" w:eastAsia="宋体"/>
          <w:b w:val="1"/>
          <w:i w:val="0"/>
          <w:color w:val="000000"/>
          <w:sz w:val="22"/>
        </w:rPr>
        <w:t>数组顺序即展示顺序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，前端不重排。</w:t>
      </w:r>
    </w:p>
    <w:p>
      <w:pPr>
        <w:numPr>
          <w:ilvl w:val="0"/>
          <w:numId w:val="4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仅带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cardId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 section 挂载图表；无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cardId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的段为纯文字。</w:t>
      </w:r>
    </w:p>
    <w:p>
      <w:pPr>
        <w:numPr>
          <w:ilvl w:val="0"/>
          <w:numId w:val="5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risk_warning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必须展示在整段回答末尾；</w:t>
      </w:r>
      <w:r>
        <w:rPr>
          <w:rFonts w:ascii="宋体" w:hAnsi="Courier New" w:eastAsia="宋体"/>
          <w:b w:val="0"/>
          <w:i w:val="0"/>
          <w:color w:val="000000"/>
          <w:sz w:val="22"/>
        </w:rPr>
        <w:t>followUp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渲染为可点击追问入口。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 sections[] 段落类型规范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每个 section 对象结构：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"段落类型",            // 见下表，决定渲染样式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"段落标题",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"narrative": "文字叙述（支持 Markdown 语法：==高亮== ~~红色~~ **加粗** [^1]角标）",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"cardId": "FRT02",           // 可选：本段引用的卡片ID，前端据此从 cards[] 取数据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"companionCardIds": [...],   // 可选：附属卡（如 FRT04-B 附属 FRT04-A）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"highlightMetrics": [...],   // 可选：关键数字高亮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"citations": [...]          // 新增：溯源列表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narrative 的 Markdown 标记约定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（前端需支持）：</w:t>
      </w:r>
    </w:p>
    <w:p>
      <w:pPr>
        <w:numPr>
          <w:ilvl w:val="0"/>
          <w:numId w:val="6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==文本==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→ 橙色高亮（关键结论）</w:t>
      </w:r>
    </w:p>
    <w:p>
      <w:pPr>
        <w:numPr>
          <w:ilvl w:val="0"/>
          <w:numId w:val="7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~~文本~~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→ 红色（风险/下跌数字）</w:t>
      </w:r>
    </w:p>
    <w:p>
      <w:pPr>
        <w:numPr>
          <w:ilvl w:val="0"/>
          <w:numId w:val="8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**文本**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→ 加粗</w:t>
      </w:r>
    </w:p>
    <w:p>
      <w:pPr>
        <w:numPr>
          <w:ilvl w:val="0"/>
          <w:numId w:val="8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[^1] → 角标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"summary",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"市场观点",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"narrative": "今日 AI 算力板块大涨，主要受英伟达财报超预期提振[^1]，叠加国内算力基础设施政策利好持续发酵[^2]。资金面来看，北向今日净流入算力板块约 14 亿元，成交额创近一个月新高。板块内华为概念股涨幅居前，A100 国产替代逻辑继续被市场定价。[^3]",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"citations":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"id": 1,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"type": "news",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"typeLabel": "新闻",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"title": "英伟达 Q1 营收创历史新高，数据中心收入同比增长 427%",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"source": "英伟达",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"summary": "英伟达公布 2025 财年第一季度业绩，营收达 260 亿美元，超出分析师预期约 8%……",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"publishTime": "09:32",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"url": "https://..."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"id": 2,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"type": "report",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"typeLabel": "研报",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"title": "AI 算力产业链深度：国产替代加速，算力基建政策红利持续",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"source": "中金公司",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"summary": "我们认为国内算力基础设施建设进入加速阶段，相关政策支持力度持续加大……",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"publishTime": "前日",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"url": "https://..."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"id": 3,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"type": "news",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"typeLabel": "新闻",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"title": "北向资金今日净买入算力板块约 14 亿元，为近一个月最大单日流入",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"source": "沪深港通",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"summary": "沪深港通数据显示，AI 算力板块今日北向净买入额创近一个月新高……",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"publishTime": "11:04",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"url": "https://..."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924"/>
        <w:gridCol w:w="3187"/>
        <w:gridCol w:w="3063"/>
        <w:gridCol w:w="3460"/>
      </w:tblGrid>
      <w:tr>
        <w:trPr>
          <w:trHeight w:val="495" w:hRule="atLeast"/>
        </w:trPr>
        <w:tc>
          <w:tcPr>
            <w:tcW w:w="13634" w:type="dxa"/>
            <w:gridSpan w:val="4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citation数组：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字段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类型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必填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array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该段所有引用，无则省略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citations[].id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int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与 narrative 中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[^id]</w:t>
            </w:r>
          </w:p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 对应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citations[].type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enum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类型枚举，决定标签颜色：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news</w:t>
            </w:r>
          </w:p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 蓝色、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report</w:t>
            </w:r>
          </w:p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 灰色/棕色、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announcement</w:t>
            </w:r>
          </w:p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 红色、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data</w:t>
            </w:r>
          </w:p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 绿色 等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citations[].typeLabel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展示文案："新闻"、"研报"、"公告"、"数据"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citations[].title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可点击跳转的标题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citations[].source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来源机构/发布方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citations[].summary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摘要说明（标题下方小字）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citations[].publishTime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展示时间，支持相对时间（"09:32"、"前日"）或绝对日期</w:t>
            </w:r>
          </w:p>
        </w:tc>
      </w:tr>
      <w:tr>
        <w:trPr>
          <w:trHeight w:val="495" w:hRule="atLeast"/>
        </w:trPr>
        <w:tc>
          <w:tcPr>
            <w:tcW w:w="39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citations[].url</w:t>
            </w:r>
          </w:p>
        </w:tc>
        <w:tc>
          <w:tcPr>
            <w:tcW w:w="31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30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w="3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点击标题后跳转的链接</w:t>
            </w:r>
          </w:p>
        </w:tc>
      </w:tr>
    </w:tbl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2.1 段落类型总表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567"/>
        <w:gridCol w:w="2704"/>
        <w:gridCol w:w="4344"/>
        <w:gridCol w:w="3019"/>
      </w:tblGrid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type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出现场景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必备字段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渲染建议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summary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所有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narrative, highlightMetrics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顶部概要卡，narrative 用 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  <w:shd w:fill="f3bb2f"/>
              </w:rPr>
              <w:t>高亮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突出核心结论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performance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单品/归因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cardId:"FRT02",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业绩文字 + 走势图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risk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单品/归因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cardId:"FRT03",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风险文字 + 回撤图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holdings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cardId:"FRT04-A/B",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持仓文字 + 行业/重仓卡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attribution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单品/归因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cardId:"FRT05",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归因文字 + 归因卡（涨跌归因场景下为段落主角）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fee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cardId:"FRT07",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费率文字 + 费率卡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asset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cardId:"FRT08",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资产配置文字 + 饼图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manager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cardId:"MGT01",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经理文字 + 经理卡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conclusion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所有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coreAdvice/actionItems/narrative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底部综合建议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info_query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信息查询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narrative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纯文字回答（无图表）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style_label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styleA, styleB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双基金风格速览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dimension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narrative, highlightMetrics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单维度横比段落（多段，</w:t>
            </w: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不挂 cardId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，纯文字）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compare_table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cardId:"FRT06"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多维度数据对比表（双基金可视化统一由此卡承载）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decision_tree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scenarios[]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选基决策树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common_risk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narrative, risks[]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两基金共同风险点</w:t>
            </w:r>
          </w:p>
        </w:tc>
      </w:tr>
      <w:tr>
        <w:trPr>
          <w:trHeight w:val="495" w:hRule="atLeast"/>
        </w:trPr>
        <w:tc>
          <w:tcPr>
            <w:tcW w:w="356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recommendation_list</w:t>
            </w:r>
          </w:p>
        </w:tc>
        <w:tc>
          <w:tcPr>
            <w:tcW w:w="270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推荐</w:t>
            </w:r>
          </w:p>
        </w:tc>
        <w:tc>
          <w:tcPr>
            <w:tcW w:w="43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title, items[]</w:t>
            </w:r>
          </w:p>
        </w:tc>
        <w:tc>
          <w:tcPr>
            <w:tcW w:w="30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推荐基金列表（N 只）</w:t>
            </w:r>
          </w:p>
        </w:tc>
      </w:tr>
    </w:tbl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2.2 summary（概要段）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1253067" cy="2584257"/>
            <wp:effectExtent l="0" t="0" r="0" b="0"/>
            <wp:docPr id="41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3067" cy="25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"summary",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"核心观点",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"narrative": "永赢先进制造智选混合C近6月涨了==+25.3%==，同类排名前10%...",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"oneLiner": "偏股混合型·中高风险",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"highlightMetrics":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"label": "近1年收益", "value": "+25.3%", "sentiment": "positive" | "negative" | "neutral"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2.3 conclusion（结论段）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结论统一由本段承载。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1456267" cy="2168600"/>
            <wp:effectExtent l="0" t="0" r="0" b="0"/>
            <wp:docPr id="44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6267" cy="21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"conclusion",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"综合建议",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"coreAdvice": "建议作为权益底仓长期持有",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"actionItems": ["作为偏股型，建议结合风险承受能力审慎配置", "关注市场风格切换与行业集中度风险"],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"narrative": "建议作为权益底仓长期持有。该基金弹性较强，适合能承受波动的投资者。",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"highlightMetrics": []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前端可直接渲染 </w:t>
      </w:r>
      <w:r>
        <w:rPr>
          <w:rFonts w:ascii="宋体" w:hAnsi="Courier New" w:eastAsia="宋体"/>
          <w:b w:val="0"/>
          <w:i w:val="0"/>
          <w:color w:val="808080"/>
          <w:sz w:val="22"/>
        </w:rPr>
        <w:t>narrative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，或拆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coreAdvice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+ </w:t>
      </w:r>
      <w:r>
        <w:rPr>
          <w:rFonts w:ascii="宋体" w:hAnsi="Courier New" w:eastAsia="宋体"/>
          <w:b w:val="0"/>
          <w:i w:val="0"/>
          <w:color w:val="808080"/>
          <w:sz w:val="22"/>
        </w:rPr>
        <w:t>actionItems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做结构化展示。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2.4 对比模式专属段落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style_label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"style_label",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"风格速览",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"styleA": { "name": "永赢先进制造智选混合C", "tags": ["偏股型","主动管理"], "desc": "主动选股，弹性较强"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"styleB": { "name": "广发高端制造股票A", "tags": ["偏股型","主动管理"], "desc": "主动选股，弹性较强"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dimension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（可有多段，每段一个横比维度；</w:t>
      </w:r>
      <w:r>
        <w:rPr>
          <w:rFonts w:ascii="宋体" w:hAnsi="Times New Roman" w:eastAsia="宋体"/>
          <w:b w:val="1"/>
          <w:i w:val="0"/>
          <w:color w:val="000000"/>
          <w:sz w:val="22"/>
        </w:rPr>
        <w:t>对比模式下根据维度对应挂 cardId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，双基金可视化统一由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compare_table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(FRT06) 承载，避免与单只卡片契约冲突及数据重复）：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"dimension",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"业绩对比：永赢先进制造进攻更强",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"highlightMetrics":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"label": "近1年收益", "value": "永赢+25.3% / 广发+15.2%", "sentiment": "neutral"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compare_table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"type": "compare_table", "title": "多维度数据对比", "cardId": "FRT06"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decision_tree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"decision_tree",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"选基建议",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"scenarios":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"condition": "如果您追求高弹性、看好成长赛道", "choice": "永赢先进制造", "reason": "弹性更强"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"condition": "如果您偏好稳健、注重回撤控制", "choice": "广发高端制造", "reason": "波动更低"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"condition": "如果您希望分散配置、平衡收益与风险", "choice": "各半组合", "reason": "风险分散"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808080"/>
          <w:sz w:val="22"/>
        </w:rPr>
        <w:t>对比模式 vs 单品模式的段类型映射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：对比模式下，单品模式的「单只描述型段」（</w:t>
      </w:r>
      <w:r>
        <w:rPr>
          <w:rFonts w:ascii="宋体" w:hAnsi="Courier New" w:eastAsia="宋体"/>
          <w:b w:val="0"/>
          <w:i w:val="0"/>
          <w:color w:val="808080"/>
          <w:sz w:val="22"/>
        </w:rPr>
        <w:t>performance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risk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holdings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asset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attribution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manager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fee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）整体不再出现，统一由多个 </w:t>
      </w:r>
      <w:r>
        <w:rPr>
          <w:rFonts w:ascii="宋体" w:hAnsi="Courier New" w:eastAsia="宋体"/>
          <w:b w:val="0"/>
          <w:i w:val="0"/>
          <w:color w:val="808080"/>
          <w:sz w:val="22"/>
        </w:rPr>
        <w:t>dimension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段替代——每个维度写一段「基金A vs 基金B」的横比文。</w:t>
      </w:r>
      <w:r>
        <w:rPr>
          <w:rFonts w:ascii="宋体" w:hAnsi="Courier New" w:eastAsia="宋体"/>
          <w:b w:val="0"/>
          <w:i w:val="0"/>
          <w:color w:val="808080"/>
          <w:sz w:val="22"/>
        </w:rPr>
        <w:t>dimension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本身就是 </w:t>
      </w:r>
      <w:r>
        <w:rPr>
          <w:rFonts w:ascii="宋体" w:hAnsi="Courier New" w:eastAsia="宋体"/>
          <w:b w:val="0"/>
          <w:i w:val="0"/>
          <w:color w:val="808080"/>
          <w:sz w:val="22"/>
        </w:rPr>
        <w:t>section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的一种 </w:t>
      </w:r>
      <w:r>
        <w:rPr>
          <w:rFonts w:ascii="宋体" w:hAnsi="Courier New" w:eastAsia="宋体"/>
          <w:b w:val="0"/>
          <w:i w:val="0"/>
          <w:color w:val="808080"/>
          <w:sz w:val="22"/>
        </w:rPr>
        <w:t>type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，并非「代替 section 容器」；</w:t>
      </w:r>
      <w:r>
        <w:rPr>
          <w:rFonts w:ascii="宋体" w:hAnsi="Courier New" w:eastAsia="宋体"/>
          <w:b w:val="0"/>
          <w:i w:val="0"/>
          <w:color w:val="808080"/>
          <w:sz w:val="22"/>
        </w:rPr>
        <w:t>sections[]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数组照常存在，只是内部 </w:t>
      </w:r>
      <w:r>
        <w:rPr>
          <w:rFonts w:ascii="宋体" w:hAnsi="Courier New" w:eastAsia="宋体"/>
          <w:b w:val="0"/>
          <w:i w:val="0"/>
          <w:color w:val="808080"/>
          <w:sz w:val="22"/>
        </w:rPr>
        <w:t>type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组合不同。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323"/>
        <w:gridCol w:w="4219"/>
        <w:gridCol w:w="6092"/>
      </w:tblGrid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维度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单品模式段类型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对比模式段类型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总评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summary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summary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（对比总评）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风格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style_label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✅对比专属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业绩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performance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dimension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（业绩横比）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风险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risk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dimension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（风险横比）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持仓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holdings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dimension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（持仓横比）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归因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attribution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dimension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（归因横比，可选）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经理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manager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dimension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（经理横比，可选）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费率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fee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dimension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（费率横比，可选）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数据表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compare_table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（FRT06）✅对比专属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选基建议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decision_tree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✅对比专属</w:t>
            </w:r>
          </w:p>
        </w:tc>
      </w:tr>
      <w:tr>
        <w:trPr>
          <w:trHeight w:val="495" w:hRule="atLeast"/>
        </w:trPr>
        <w:tc>
          <w:tcPr>
            <w:tcW w:w="33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结论</w:t>
            </w:r>
          </w:p>
        </w:tc>
        <w:tc>
          <w:tcPr>
            <w:tcW w:w="4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conclusion</w:t>
            </w:r>
          </w:p>
        </w:tc>
        <w:tc>
          <w:tcPr>
            <w:tcW w:w="609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conclusion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common_risk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（两基金共同风险点，补齐蚂小财范式第 5 段）：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"common_risk",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"共同风险",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"narrative": "两只基金均高仓位、集中半导体，需警惕板块系统性回撤。",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"risks":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"point": "高仓位运作", "detail": "股票仓位均超 85%，市场下行时回撤放大"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"point": "行业集中", "detail": "前三大行业重合度约 60%，半导体波动共振"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2.5 info_query（信息查询段）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"info_query",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"查询结果",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"narrative": "管理费率1.2%/年，托管费0.2%/年...",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"highlightMetrics": []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2.6 recommendation_list（推荐列表段）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仅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intent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recommend_conditional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recommend_unconditional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时出现。承载 N 只基金结果，打破单基金基数。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2015067" cy="2836108"/>
            <wp:effectExtent l="0" t="0" r="0" b="0"/>
            <wp:docPr id="47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5067" cy="283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"fund_selection",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"title": "选基结果",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"cardId": "FRT10-B"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"cardId": "FRT10-B",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"total": 10,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"displayed": 5,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"queryText": "帮我推荐几只科技基金",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"queryConditions":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"label": "筛选条件", "value": "科技基金"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"funds":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"rank": 1, "fundCode": "000522", "fundName": "华润元大信息传媒科技混合A"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"rank": 2, "fundCode": "000698", "fundName": "宝盈科技30混合"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"rank": 3, "fundCode": "000966", "fundName": "中邮核心科技创新灵活配置混合"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"rank": 4, "fundCode": "001092", "fundName": "广发生物科技指数(QDII)A"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"rank": 5, "fundCode": "001093", "fundName": "广发纳斯达克生物科技A美元"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6785"/>
        <w:gridCol w:w="6849"/>
      </w:tblGrid>
      <w:tr>
        <w:trPr>
          <w:trHeight w:val="495" w:hRule="atLeast"/>
        </w:trPr>
        <w:tc>
          <w:tcPr>
            <w:tcW w:w="6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data[] 字段</w:t>
            </w:r>
          </w:p>
        </w:tc>
        <w:tc>
          <w:tcPr>
            <w:tcW w:w="68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6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data.total</w:t>
            </w:r>
          </w:p>
        </w:tc>
        <w:tc>
          <w:tcPr>
            <w:tcW w:w="68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总匹配数量，如 10</w:t>
            </w:r>
          </w:p>
        </w:tc>
      </w:tr>
      <w:tr>
        <w:trPr>
          <w:trHeight w:val="495" w:hRule="atLeast"/>
        </w:trPr>
        <w:tc>
          <w:tcPr>
            <w:tcW w:w="6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data.displayed</w:t>
            </w:r>
          </w:p>
        </w:tc>
        <w:tc>
          <w:tcPr>
            <w:tcW w:w="68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当前展示数量，如 5</w:t>
            </w:r>
          </w:p>
        </w:tc>
      </w:tr>
      <w:tr>
        <w:trPr>
          <w:trHeight w:val="495" w:hRule="atLeast"/>
        </w:trPr>
        <w:tc>
          <w:tcPr>
            <w:tcW w:w="6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data.queryText</w:t>
            </w:r>
          </w:p>
        </w:tc>
        <w:tc>
          <w:tcPr>
            <w:tcW w:w="68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用户原始请求，用于展示筛选条件</w:t>
            </w:r>
          </w:p>
        </w:tc>
      </w:tr>
      <w:tr>
        <w:trPr>
          <w:trHeight w:val="495" w:hRule="atLeast"/>
        </w:trPr>
        <w:tc>
          <w:tcPr>
            <w:tcW w:w="6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data.queryConditions</w:t>
            </w:r>
          </w:p>
        </w:tc>
        <w:tc>
          <w:tcPr>
            <w:tcW w:w="68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结构化筛选条件，可多个</w:t>
            </w:r>
          </w:p>
        </w:tc>
      </w:tr>
      <w:tr>
        <w:trPr>
          <w:trHeight w:val="495" w:hRule="atLeast"/>
        </w:trPr>
        <w:tc>
          <w:tcPr>
            <w:tcW w:w="6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data.funds</w:t>
            </w:r>
          </w:p>
        </w:tc>
        <w:tc>
          <w:tcPr>
            <w:tcW w:w="68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展示基金列表，每项含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rank/fundCode/fundName</w:t>
            </w:r>
          </w:p>
        </w:tc>
      </w:tr>
      <w:tr>
        <w:trPr>
          <w:trHeight w:val="495" w:hRule="atLeast"/>
        </w:trPr>
        <w:tc>
          <w:tcPr>
            <w:tcW w:w="67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data.moreText</w:t>
            </w:r>
          </w:p>
        </w:tc>
        <w:tc>
          <w:tcPr>
            <w:tcW w:w="68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底部提示，固定文案或动态生成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前端渲染要点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numPr>
          <w:ilvl w:val="0"/>
          <w:numId w:val="9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intent === recommend_conditional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：额外渲染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meta.queryConditions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为「筛选条件」芯片组。</w:t>
      </w:r>
    </w:p>
    <w:p>
      <w:pPr>
        <w:numPr>
          <w:ilvl w:val="0"/>
          <w:numId w:val="10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intent === recommend_unconditional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：不展示条件芯片。</w:t>
      </w:r>
    </w:p>
    <w:p>
      <w:pPr>
        <w:numPr>
          <w:ilvl w:val="0"/>
          <w:numId w:val="11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每只基金可挂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cardId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（FRT01-A 概要卡）；点击单项建议前端发起新的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single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解读请求。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 cards[] 卡片数据规范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卡片库：</w:t>
      </w:r>
    </w:p>
    <w:p>
      <w:pPr>
        <w:spacing w:beforeLines="100" w:after="50" w:line="360" w:lineRule="auto"/>
        <w:ind w:left="0"/>
        <w:jc w:val="left"/>
        <w:rPr/>
      </w:pPr>
      <w:r>
        <w:rPr/>
        <w:fldChar w:fldCharType="begin" w:fldLock="0" w:dirty="0"/>
      </w:r>
      <w:r>
        <w:rPr/>
        <w:instrText>HYPERLINK "https://www.yuque.com/attachments/yuque/0/2026/pdf/35746910/1783646783736-92ef926a-4c08-433f-96ea-56ac5567e27e.pdf"</w:instrText>
      </w:r>
      <w:r>
        <w:rPr/>
        <w:fldChar w:fldCharType="separate" w:fldLock="0" w:dirty="0"/>
      </w:r>
      <w:r>
        <w:rPr>
          <w:rFonts w:ascii="宋体" w:hAnsi="Times New Roman" w:eastAsia="宋体"/>
          <w:b w:val="0"/>
          <w:i w:val="0"/>
          <w:color w:val="0000ff"/>
          <w:sz w:val="22"/>
          <w:u w:val="single"/>
        </w:rPr>
        <w:t>📎问基金 卡片组件 v1 — 跟我投问AI.pdf</w:t>
      </w:r>
      <w:r>
        <w:rPr/>
        <w:fldChar w:fldCharType="end" w:fldLock="0" w:dirty="0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cards[]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中每一项：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"FRT02", "type": "chart", "chartType": "line", "data": { ...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numPr>
          <w:ilvl w:val="0"/>
          <w:numId w:val="12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cardId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：卡片唯一标识，对应下面 3.1~3.15 的定义</w:t>
      </w:r>
    </w:p>
    <w:p>
      <w:pPr>
        <w:numPr>
          <w:ilvl w:val="0"/>
          <w:numId w:val="13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：前端组件大类（summary / chart / table / industry / comparison-table / detail）</w:t>
      </w:r>
    </w:p>
    <w:p>
      <w:pPr>
        <w:numPr>
          <w:ilvl w:val="0"/>
          <w:numId w:val="14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chartType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：图表子类型（line / bar / pie / risk-rank 等）</w:t>
      </w:r>
    </w:p>
    <w:p>
      <w:pPr>
        <w:numPr>
          <w:ilvl w:val="0"/>
          <w:numId w:val="15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data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：卡片实际数据，字段见各卡定义</w:t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808080"/>
          <w:sz w:val="22"/>
        </w:rPr>
        <w:t>重要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：</w:t>
      </w:r>
      <w:r>
        <w:rPr>
          <w:rFonts w:ascii="宋体" w:hAnsi="Courier New" w:eastAsia="宋体"/>
          <w:b w:val="0"/>
          <w:i w:val="0"/>
          <w:color w:val="808080"/>
          <w:sz w:val="22"/>
        </w:rPr>
        <w:t>data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中所有数值字段都可能为 </w:t>
      </w:r>
      <w:r>
        <w:rPr>
          <w:rFonts w:ascii="宋体" w:hAnsi="Courier New" w:eastAsia="宋体"/>
          <w:b w:val="0"/>
          <w:i w:val="0"/>
          <w:color w:val="808080"/>
          <w:sz w:val="22"/>
        </w:rPr>
        <w:t>null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（数据缺失时后端返回 null 而非 0）。前端必须做空值兜底，不要假设字段一定存在。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 FRT01-A · 基础信息标签卡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1688280"/>
            <wp:effectExtent l="0" t="0" r="0" b="0"/>
            <wp:docPr id="50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821334" cy="28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"summary"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"text"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456"/>
        <w:gridCol w:w="3426"/>
        <w:gridCol w:w="3219"/>
        <w:gridCol w:w="3533"/>
      </w:tblGrid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单位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fundName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基金简称</w:t>
            </w:r>
          </w:p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fundCode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6位基金代码</w:t>
            </w:r>
          </w:p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fundType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基金类型，如"混合型-偏股"</w:t>
            </w:r>
          </w:p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riskLevel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风险等级，如"R4"</w:t>
            </w:r>
          </w:p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fundSize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亿元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基金规模</w:t>
            </w:r>
          </w:p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establishDate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成立日期 YYYY-MM-DD</w:t>
            </w:r>
          </w:p>
        </w:tc>
      </w:tr>
      <w:tr>
        <w:trPr>
          <w:trHeight w:val="495" w:hRule="atLeast"/>
        </w:trPr>
        <w:tc>
          <w:tcPr>
            <w:tcW w:w="34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fundManager</w:t>
            </w:r>
          </w:p>
        </w:tc>
        <w:tc>
          <w:tcPr>
            <w:tcW w:w="342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32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w="35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基金经理（多名用"、"连接）</w:t>
            </w:r>
          </w:p>
        </w:tc>
      </w:tr>
    </w:tbl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"FRT01-A", "type": "summary", "chartType": "text",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"fundName": "永赢先进制造智选混合C", "fundCode": "018125",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"fundType": "混合型-偏股", "riskLevel": "R4", "fundSize": 2.35,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"establishDate": "2024-06-12", "fundManager": "张璐"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3.2 FRT01-B · 基金详情卡（12字段）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2541254"/>
            <wp:effectExtent l="0" t="0" r="0" b="0"/>
            <wp:docPr id="53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05067" cy="47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"summary"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"text"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78"/>
        <w:gridCol w:w="4512"/>
        <w:gridCol w:w="4444"/>
      </w:tblGrid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fundName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基金简称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fundCode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基金代码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fundType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基金类型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riskLevel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风险等级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fundSize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规模，如"4.12亿"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establishDate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成立日期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establishYears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成立年限，如"4.31年"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fundManager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基金经理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companyName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基金公司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fundTrustee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托管人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benchmark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业绩比较基准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applyRedeemType</w:t>
            </w:r>
          </w:p>
        </w:tc>
        <w:tc>
          <w:tcPr>
            <w:tcW w:w="45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申赎状态</w:t>
            </w:r>
          </w:p>
        </w:tc>
      </w:tr>
    </w:tbl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3.3 FRT02-A· 业绩走势图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2360125"/>
            <wp:effectExtent l="0" t="0" r="0" b="0"/>
            <wp:docPr id="56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0" cy="44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"chart"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"line"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23"/>
        <w:gridCol w:w="4586"/>
        <w:gridCol w:w="4425"/>
      </w:tblGrid>
      <w:tr>
        <w:trPr>
          <w:trHeight w:val="495" w:hRule="atLeast"/>
        </w:trPr>
        <w:tc>
          <w:tcPr>
            <w:tcW w:w="4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points</w:t>
            </w:r>
          </w:p>
        </w:tc>
        <w:tc>
          <w:tcPr>
            <w:tcW w:w="45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array[{d:string, v:number}]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基金累计收益曲线，d=日期，v=累计收益率%</w:t>
            </w:r>
          </w:p>
        </w:tc>
      </w:tr>
      <w:tr>
        <w:trPr>
          <w:trHeight w:val="495" w:hRule="atLeast"/>
        </w:trPr>
        <w:tc>
          <w:tcPr>
            <w:tcW w:w="4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categoryPoints</w:t>
            </w:r>
          </w:p>
        </w:tc>
        <w:tc>
          <w:tcPr>
            <w:tcW w:w="45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array[{d, v}]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同类均值曲线（可为空数组）</w:t>
            </w:r>
          </w:p>
        </w:tc>
      </w:tr>
      <w:tr>
        <w:trPr>
          <w:trHeight w:val="495" w:hRule="atLeast"/>
        </w:trPr>
        <w:tc>
          <w:tcPr>
            <w:tcW w:w="4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benchmarkPoints</w:t>
            </w:r>
          </w:p>
        </w:tc>
        <w:tc>
          <w:tcPr>
            <w:tcW w:w="45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array[{d, v}]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沪深300基准曲线（可为空数组）</w:t>
            </w:r>
          </w:p>
        </w:tc>
      </w:tr>
      <w:tr>
        <w:trPr>
          <w:trHeight w:val="495" w:hRule="atLeast"/>
        </w:trPr>
        <w:tc>
          <w:tcPr>
            <w:tcW w:w="4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totalReturn</w:t>
            </w:r>
          </w:p>
        </w:tc>
        <w:tc>
          <w:tcPr>
            <w:tcW w:w="45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窗口内累计收益率%</w:t>
            </w:r>
          </w:p>
        </w:tc>
      </w:tr>
      <w:tr>
        <w:trPr>
          <w:trHeight w:val="555" w:hRule="atLeast"/>
        </w:trPr>
        <w:tc>
          <w:tcPr>
            <w:tcW w:w="46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period</w:t>
            </w:r>
          </w:p>
        </w:tc>
        <w:tc>
          <w:tcPr>
            <w:tcW w:w="458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周期，如"近6月"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FRT02-B 货币基金变种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（fundType 含"货币"时）：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1999" cy="2395118"/>
            <wp:effectExtent l="0" t="0" r="0" b="0"/>
            <wp:docPr id="59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57467" cy="45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37"/>
        <w:gridCol w:w="4572"/>
        <w:gridCol w:w="4425"/>
      </w:tblGrid>
      <w:tr>
        <w:trPr>
          <w:trHeight w:val="495" w:hRule="atLeast"/>
        </w:trPr>
        <w:tc>
          <w:tcPr>
            <w:tcW w:w="4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points</w:t>
            </w:r>
          </w:p>
        </w:tc>
        <w:tc>
          <w:tcPr>
            <w:tcW w:w="45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array[{d, v}]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七日年化收益率走势</w:t>
            </w:r>
          </w:p>
        </w:tc>
      </w:tr>
      <w:tr>
        <w:trPr>
          <w:trHeight w:val="495" w:hRule="atLeast"/>
        </w:trPr>
        <w:tc>
          <w:tcPr>
            <w:tcW w:w="4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unitYieldPoints</w:t>
            </w:r>
          </w:p>
        </w:tc>
        <w:tc>
          <w:tcPr>
            <w:tcW w:w="45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array[{d, v}]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万份收益走势</w:t>
            </w:r>
          </w:p>
        </w:tc>
      </w:tr>
      <w:tr>
        <w:trPr>
          <w:trHeight w:val="495" w:hRule="atLeast"/>
        </w:trPr>
        <w:tc>
          <w:tcPr>
            <w:tcW w:w="4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yearlyRoe</w:t>
            </w:r>
          </w:p>
        </w:tc>
        <w:tc>
          <w:tcPr>
            <w:tcW w:w="45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最新七日年化%</w:t>
            </w:r>
          </w:p>
        </w:tc>
      </w:tr>
      <w:tr>
        <w:trPr>
          <w:trHeight w:val="495" w:hRule="atLeast"/>
        </w:trPr>
        <w:tc>
          <w:tcPr>
            <w:tcW w:w="4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unitYield</w:t>
            </w:r>
          </w:p>
        </w:tc>
        <w:tc>
          <w:tcPr>
            <w:tcW w:w="45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最新万份收益（元/万份）</w:t>
            </w:r>
          </w:p>
        </w:tc>
      </w:tr>
      <w:tr>
        <w:trPr>
          <w:trHeight w:val="495" w:hRule="atLeast"/>
        </w:trPr>
        <w:tc>
          <w:tcPr>
            <w:tcW w:w="4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isMoneyFund</w:t>
            </w:r>
          </w:p>
        </w:tc>
        <w:tc>
          <w:tcPr>
            <w:tcW w:w="45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恒为 true</w:t>
            </w:r>
          </w:p>
        </w:tc>
      </w:tr>
      <w:tr>
        <w:trPr>
          <w:trHeight w:val="495" w:hRule="atLeast"/>
        </w:trPr>
        <w:tc>
          <w:tcPr>
            <w:tcW w:w="46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totalReturn</w:t>
            </w:r>
          </w:p>
        </w:tc>
        <w:tc>
          <w:tcPr>
            <w:tcW w:w="45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null</w:t>
            </w:r>
          </w:p>
        </w:tc>
        <w:tc>
          <w:tcPr>
            <w:tcW w:w="44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货币基金无累计收益</w:t>
            </w:r>
          </w:p>
        </w:tc>
      </w:tr>
    </w:tbl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"FRT02", "type": "chart", "chartType": "line",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"points": [{"d":"2025-01-02","v":0.0},{"d":"2025-06-09","v":25.3}],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"categoryPoints": [{"d":"2025-01-02","v":0.0},{"d":"2025-06-09","v":12.1}],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"benchmarkPoints": [{"d":"2025-01-02","v":0.0},{"d":"2025-06-09","v":8.5}],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"totalReturn": 25.3, "period": "近6月"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3.4 FRT03 · 回撤修复图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"chart"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"area"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risk-rank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2698955"/>
            <wp:effectExtent l="0" t="0" r="0" b="0"/>
            <wp:docPr id="62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0" cy="51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78"/>
        <w:gridCol w:w="4553"/>
        <w:gridCol w:w="4403"/>
      </w:tblGrid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returnPoints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array[{d, v}]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累计收益序列（Y轴）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peakIndex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最高点索引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peakAccuYield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最高点累计收益%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ddIndex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最大回撤点索引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ddAccuYield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回撤点累计收益%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maxDrawdown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最大回撤%（负值）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ddFromIndex / ddToIndex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回撤区间起止索引（红色阴影）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recoveryIndex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修复点索引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repairDays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修复天数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isRecovering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是否仍在修复中</w:t>
            </w:r>
          </w:p>
        </w:tc>
      </w:tr>
      <w:tr>
        <w:trPr>
          <w:trHeight w:val="495" w:hRule="atLeast"/>
        </w:trPr>
        <w:tc>
          <w:tcPr>
            <w:tcW w:w="46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apiMaxDrawdown / apiRepairDays</w:t>
            </w:r>
          </w:p>
        </w:tc>
        <w:tc>
          <w:tcPr>
            <w:tcW w:w="45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API 交叉验证值</w:t>
            </w:r>
          </w:p>
        </w:tc>
      </w:tr>
    </w:tbl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3.5 FRT03X · 风险指标详情卡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eastAsia="宋体"/>
        </w:rPr>
        <w:drawing>
          <wp:inline distT="0" distB="0" distL="0" distR="0">
            <wp:extent cx="5842000" cy="2365893"/>
            <wp:effectExtent l="0" t="0" r="0" b="0"/>
            <wp:docPr id="65" name="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786533" cy="436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"table"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"risk-rank"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1269"/>
        <w:gridCol w:w="1351"/>
        <w:gridCol w:w="11955"/>
      </w:tblGrid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13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119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periods</w:t>
            </w:r>
          </w:p>
        </w:tc>
        <w:tc>
          <w:tcPr>
            <w:tcW w:w="13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object</w:t>
            </w:r>
          </w:p>
        </w:tc>
        <w:tc>
          <w:tcPr>
            <w:tcW w:w="119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6个周期的风险指标，key=lastOneMonth/lastThreeMonth/lastSixMonth/lastOneYear/lastThreeYear/lastFiveYear</w:t>
            </w:r>
          </w:p>
        </w:tc>
      </w:tr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riskLevel</w:t>
            </w:r>
          </w:p>
        </w:tc>
        <w:tc>
          <w:tcPr>
            <w:tcW w:w="13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119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风险等级</w:t>
            </w:r>
          </w:p>
        </w:tc>
      </w:tr>
      <w:tr>
        <w:trPr>
          <w:trHeight w:val="495" w:hRule="atLeast"/>
        </w:trPr>
        <w:tc>
          <w:tcPr>
            <w:tcW w:w="12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isIndex</w:t>
            </w:r>
          </w:p>
        </w:tc>
        <w:tc>
          <w:tcPr>
            <w:tcW w:w="13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w="119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是否指数基金（决定有无跟踪误差列）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periods[&lt;周期&gt;]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内含指标（均为 number|null）：</w:t>
      </w:r>
    </w:p>
    <w:p>
      <w:pPr>
        <w:numPr>
          <w:ilvl w:val="0"/>
          <w:numId w:val="16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volatility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年化波动率%</w:t>
      </w:r>
    </w:p>
    <w:p>
      <w:pPr>
        <w:numPr>
          <w:ilvl w:val="0"/>
          <w:numId w:val="17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maxDrawdown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最大回撤%</w:t>
      </w:r>
    </w:p>
    <w:p>
      <w:pPr>
        <w:numPr>
          <w:ilvl w:val="0"/>
          <w:numId w:val="18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sharpeRatio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夏普比率</w:t>
      </w:r>
    </w:p>
    <w:p>
      <w:pPr>
        <w:numPr>
          <w:ilvl w:val="0"/>
          <w:numId w:val="19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beta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Beta</w:t>
      </w:r>
    </w:p>
    <w:p>
      <w:pPr>
        <w:numPr>
          <w:ilvl w:val="0"/>
          <w:numId w:val="20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earningRatio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盈利概率%</w:t>
      </w:r>
    </w:p>
    <w:p>
      <w:pPr>
        <w:numPr>
          <w:ilvl w:val="0"/>
          <w:numId w:val="21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peerYieldRank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  <w:r>
        <w:rPr>
          <w:rFonts w:ascii="宋体" w:hAnsi="Courier New" w:eastAsia="宋体"/>
          <w:b w:val="0"/>
          <w:i w:val="0"/>
          <w:color w:val="000000"/>
          <w:sz w:val="22"/>
        </w:rPr>
        <w:t>{rank:number, total:number}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同类排名</w:t>
      </w:r>
    </w:p>
    <w:p>
      <w:pPr>
        <w:numPr>
          <w:ilvl w:val="0"/>
          <w:numId w:val="22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trackErr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（仅指数基金）跟踪误差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"FRT03X", "type": "table", "chartType": "risk-rank",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"riskLevel": "中高风险", "isIndex":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"periods": { "lastOneYear":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"volatility": 18.5, "maxDrawdown": -20.1, "sharpeRatio": 1.2,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"beta": 1.05, "earningRatio": 65, "peerYieldRank": {"rank": 120, "total": 6893}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} }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3.6 FRT04-A · 行业配置卡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"industry"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"industry"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556"/>
        <w:gridCol w:w="4642"/>
        <w:gridCol w:w="4436"/>
      </w:tblGrid>
      <w:tr>
        <w:trPr>
          <w:trHeight w:val="495" w:hRule="atLeast"/>
        </w:trPr>
        <w:tc>
          <w:tcPr>
            <w:tcW w:w="45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6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5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industries</w:t>
            </w:r>
          </w:p>
        </w:tc>
        <w:tc>
          <w:tcPr>
            <w:tcW w:w="46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array[{n:string, w:number}]</w:t>
            </w:r>
          </w:p>
        </w:tc>
        <w:tc>
          <w:tcPr>
            <w:tcW w:w="4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申万一级行业分布，w=占比（</w:t>
            </w: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0~1 小数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，非百分比）</w:t>
            </w:r>
          </w:p>
        </w:tc>
      </w:tr>
      <w:tr>
        <w:trPr>
          <w:trHeight w:val="495" w:hRule="atLeast"/>
        </w:trPr>
        <w:tc>
          <w:tcPr>
            <w:tcW w:w="455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reportDate</w:t>
            </w:r>
          </w:p>
        </w:tc>
        <w:tc>
          <w:tcPr>
            <w:tcW w:w="46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报告期</w:t>
            </w:r>
          </w:p>
        </w:tc>
      </w:tr>
    </w:tbl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"FRT04-A", "type": "industry", "chartType": "industry",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"industries": [{"n":"制造业","w":0.62},{"n":"信息技术","w":0.21},{"n":"金融","w":0.08}],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"reportDate": "2026-03-31"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前端展示时 </w:t>
      </w:r>
      <w:r>
        <w:rPr>
          <w:rFonts w:ascii="宋体" w:hAnsi="Courier New" w:eastAsia="宋体"/>
          <w:b w:val="0"/>
          <w:i w:val="0"/>
          <w:color w:val="808080"/>
          <w:sz w:val="22"/>
        </w:rPr>
        <w:t>w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需 ×100 显示为百分比。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3.7 FRT04-B · 重仓股票卡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"table"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"table"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62"/>
        <w:gridCol w:w="4509"/>
        <w:gridCol w:w="4463"/>
      </w:tblGrid>
      <w:tr>
        <w:trPr>
          <w:trHeight w:val="495" w:hRule="atLeast"/>
        </w:trPr>
        <w:tc>
          <w:tcPr>
            <w:tcW w:w="46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stocks</w:t>
            </w:r>
          </w:p>
        </w:tc>
        <w:tc>
          <w:tcPr>
            <w:tcW w:w="4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</w:t>
            </w:r>
          </w:p>
        </w:tc>
        <w:tc>
          <w:tcPr>
            <w:tcW w:w="4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前10重仓股（最多10条）</w:t>
            </w:r>
          </w:p>
        </w:tc>
      </w:tr>
      <w:tr>
        <w:trPr>
          <w:trHeight w:val="495" w:hRule="atLeast"/>
        </w:trPr>
        <w:tc>
          <w:tcPr>
            <w:tcW w:w="466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top10TotalRatio</w:t>
            </w:r>
          </w:p>
        </w:tc>
        <w:tc>
          <w:tcPr>
            <w:tcW w:w="45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4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前10集中度%（占净值比合计）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stocks[]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每项：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896"/>
        <w:gridCol w:w="3832"/>
        <w:gridCol w:w="4906"/>
      </w:tblGrid>
      <w:tr>
        <w:trPr>
          <w:trHeight w:val="49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股票代码（如"300750.SZ"）</w:t>
            </w:r>
          </w:p>
        </w:tc>
      </w:tr>
      <w:tr>
        <w:trPr>
          <w:trHeight w:val="49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股票名称</w:t>
            </w:r>
          </w:p>
        </w:tc>
      </w:tr>
      <w:tr>
        <w:trPr>
          <w:trHeight w:val="49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value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持股市值（亿元）</w:t>
            </w:r>
          </w:p>
        </w:tc>
      </w:tr>
      <w:tr>
        <w:trPr>
          <w:trHeight w:val="49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ratio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占基金净值比（%）</w:t>
            </w:r>
          </w:p>
        </w:tc>
      </w:tr>
      <w:tr>
        <w:trPr>
          <w:trHeight w:val="49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rank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名次</w:t>
            </w:r>
          </w:p>
        </w:tc>
      </w:tr>
      <w:tr>
        <w:trPr>
          <w:trHeight w:val="94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changePCT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个股最新涨跌幅%（</w:t>
            </w:r>
            <w:r>
              <w:rPr>
                <w:rFonts w:ascii="宋体" w:hAnsi="Times New Roman" w:eastAsia="宋体"/>
                <w:b w:val="1"/>
                <w:i w:val="0"/>
                <w:color w:val="000000"/>
                <w:sz w:val="22"/>
              </w:rPr>
              <w:t>交易时间取实时，盘后取最新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）</w:t>
            </w:r>
          </w:p>
        </w:tc>
      </w:tr>
      <w:tr>
        <w:trPr>
          <w:trHeight w:val="495" w:hRule="atLeast"/>
        </w:trPr>
        <w:tc>
          <w:tcPr>
            <w:tcW w:w="489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innerCode</w:t>
            </w:r>
          </w:p>
        </w:tc>
        <w:tc>
          <w:tcPr>
            <w:tcW w:w="3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90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A股内部代码（前端匹配涨跌幅用）</w:t>
            </w:r>
          </w:p>
        </w:tc>
      </w:tr>
    </w:tbl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"FRT04-B", "type": "table", "chartType": "table",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"top10TotalRatio": 45.3,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"stocks": [{"code":"300750.SZ","name":"宁德时代","value":3.2,"ratio":8.5,"rank":1,"changePCT":null,"innerCode":"300750"}]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808080"/>
          <w:sz w:val="22"/>
        </w:rPr>
        <w:t>异步涨跌幅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：</w:t>
      </w:r>
      <w:r>
        <w:rPr>
          <w:rFonts w:ascii="宋体" w:hAnsi="Courier New" w:eastAsia="宋体"/>
          <w:b w:val="0"/>
          <w:i w:val="0"/>
          <w:color w:val="808080"/>
          <w:sz w:val="22"/>
        </w:rPr>
        <w:t>changePCT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首次返回为 null，后端通过 </w:t>
      </w:r>
      <w:r>
        <w:rPr>
          <w:rFonts w:ascii="宋体" w:hAnsi="Courier New" w:eastAsia="宋体"/>
          <w:b w:val="0"/>
          <w:i w:val="0"/>
          <w:color w:val="808080"/>
          <w:sz w:val="22"/>
        </w:rPr>
        <w:t>/api/.../stock-quotes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异步补全。前端若需实时涨跌幅，可轮询该接口并用 </w:t>
      </w:r>
      <w:r>
        <w:rPr>
          <w:rFonts w:ascii="宋体" w:hAnsi="Courier New" w:eastAsia="宋体"/>
          <w:b w:val="0"/>
          <w:i w:val="0"/>
          <w:color w:val="808080"/>
          <w:sz w:val="22"/>
        </w:rPr>
        <w:t>innerCode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匹配更新；不轮询则展示"—"。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3.8 FRT05 · 业绩归因卡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"chart"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"waterfall"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（Brinson）或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table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（Campisi）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478"/>
        <w:gridCol w:w="4763"/>
        <w:gridCol w:w="4393"/>
      </w:tblGrid>
      <w:tr>
        <w:trPr>
          <w:trHeight w:val="495" w:hRule="atLeast"/>
        </w:trPr>
        <w:tc>
          <w:tcPr>
            <w:tcW w:w="4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type</w:t>
            </w:r>
          </w:p>
        </w:tc>
        <w:tc>
          <w:tcPr>
            <w:tcW w:w="4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"brinson"|"campisi"</w:t>
            </w:r>
          </w:p>
        </w:tc>
        <w:tc>
          <w:tcPr>
            <w:tcW w:w="4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归因模型类型</w:t>
            </w:r>
          </w:p>
        </w:tc>
      </w:tr>
      <w:tr>
        <w:trPr>
          <w:trHeight w:val="495" w:hRule="atLeast"/>
        </w:trPr>
        <w:tc>
          <w:tcPr>
            <w:tcW w:w="447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factors</w:t>
            </w:r>
          </w:p>
        </w:tc>
        <w:tc>
          <w:tcPr>
            <w:tcW w:w="47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array[{factor:string, contribution:number}]</w:t>
            </w:r>
          </w:p>
        </w:tc>
        <w:tc>
          <w:tcPr>
            <w:tcW w:w="43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各因子贡献（%，可为负）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Brinson 因子：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行业配置效应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选股效应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总超额收益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Campisi 因子：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收入效应（票息）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国债效应（利率曲线）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利差效应（信用利差）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券种选择效应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"FRT05", "type": "chart", "chartType": "waterfall",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"type": "brinson",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"factors": [{"factor":"行业配置效应","contribution":3.2},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    {"factor":"选股效应","contribution":5.8},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    {"factor":"总超额收益","contribution":9.0}]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808080"/>
          <w:sz w:val="22"/>
        </w:rPr>
        <w:t>涨跌归因场景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：后端（action=涨跌归因）会额外喂入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campisi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分解、申万行业涨跌幅（板块归因）、仓位/换手等择时指标，使本段内容更厚、成为段落主角。前端契约不变，仍按 </w:t>
      </w:r>
      <w:r>
        <w:rPr>
          <w:rFonts w:ascii="宋体" w:hAnsi="Courier New" w:eastAsia="宋体"/>
          <w:b w:val="0"/>
          <w:i w:val="0"/>
          <w:color w:val="808080"/>
          <w:sz w:val="22"/>
        </w:rPr>
        <w:t>attribution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类型渲染。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3.9 FRT06 · 基金对比卡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"comparison-table"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"table"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08"/>
        <w:gridCol w:w="4528"/>
        <w:gridCol w:w="4498"/>
      </w:tblGrid>
      <w:tr>
        <w:trPr>
          <w:trHeight w:val="495" w:hRule="atLeast"/>
        </w:trPr>
        <w:tc>
          <w:tcPr>
            <w:tcW w:w="4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funds</w:t>
            </w:r>
          </w:p>
        </w:tc>
        <w:tc>
          <w:tcPr>
            <w:tcW w:w="4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</w:t>
            </w:r>
          </w:p>
        </w:tc>
        <w:tc>
          <w:tcPr>
            <w:tcW w:w="44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对比基金列表（≥2只）</w:t>
            </w:r>
          </w:p>
        </w:tc>
      </w:tr>
      <w:tr>
        <w:trPr>
          <w:trHeight w:val="495" w:hRule="atLeast"/>
        </w:trPr>
        <w:tc>
          <w:tcPr>
            <w:tcW w:w="4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defaultPeriod</w:t>
            </w:r>
          </w:p>
        </w:tc>
        <w:tc>
          <w:tcPr>
            <w:tcW w:w="4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4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默认展示周期，如"近1年"</w:t>
            </w:r>
          </w:p>
        </w:tc>
      </w:tr>
      <w:tr>
        <w:trPr>
          <w:trHeight w:val="495" w:hRule="atLeast"/>
        </w:trPr>
        <w:tc>
          <w:tcPr>
            <w:tcW w:w="4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availablePeriods</w:t>
            </w:r>
          </w:p>
        </w:tc>
        <w:tc>
          <w:tcPr>
            <w:tcW w:w="4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array[string]</w:t>
            </w:r>
          </w:p>
        </w:tc>
        <w:tc>
          <w:tcPr>
            <w:tcW w:w="44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可选周期：近1月/近3月/近6月/近1年/近3年/近5年</w:t>
            </w:r>
          </w:p>
        </w:tc>
      </w:tr>
      <w:tr>
        <w:trPr>
          <w:trHeight w:val="495" w:hRule="atLeast"/>
        </w:trPr>
        <w:tc>
          <w:tcPr>
            <w:tcW w:w="4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metrics</w:t>
            </w:r>
          </w:p>
        </w:tc>
        <w:tc>
          <w:tcPr>
            <w:tcW w:w="4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array[{key, label, fmt}]</w:t>
            </w:r>
          </w:p>
        </w:tc>
        <w:tc>
          <w:tcPr>
            <w:tcW w:w="44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指标列定义</w:t>
            </w:r>
          </w:p>
        </w:tc>
      </w:tr>
      <w:tr>
        <w:trPr>
          <w:trHeight w:val="495" w:hRule="atLeast"/>
        </w:trPr>
        <w:tc>
          <w:tcPr>
            <w:tcW w:w="46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hasIndexFund</w:t>
            </w:r>
          </w:p>
        </w:tc>
        <w:tc>
          <w:tcPr>
            <w:tcW w:w="45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w="449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是否含指数基金（决定是否显示跟踪误差列）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funds[]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每项：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582"/>
        <w:gridCol w:w="4525"/>
        <w:gridCol w:w="4527"/>
      </w:tblGrid>
      <w:tr>
        <w:trPr>
          <w:trHeight w:val="495" w:hRule="atLeast"/>
        </w:trPr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w="45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基金代码</w:t>
            </w:r>
          </w:p>
        </w:tc>
      </w:tr>
      <w:tr>
        <w:trPr>
          <w:trHeight w:val="495" w:hRule="atLeast"/>
        </w:trPr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w="45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基金名称</w:t>
            </w:r>
          </w:p>
        </w:tc>
      </w:tr>
      <w:tr>
        <w:trPr>
          <w:trHeight w:val="495" w:hRule="atLeast"/>
        </w:trPr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fundType</w:t>
            </w:r>
          </w:p>
        </w:tc>
        <w:tc>
          <w:tcPr>
            <w:tcW w:w="45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基金类型</w:t>
            </w:r>
          </w:p>
        </w:tc>
      </w:tr>
      <w:tr>
        <w:trPr>
          <w:trHeight w:val="495" w:hRule="atLeast"/>
        </w:trPr>
        <w:tc>
          <w:tcPr>
            <w:tcW w:w="45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periods</w:t>
            </w:r>
          </w:p>
        </w:tc>
        <w:tc>
          <w:tcPr>
            <w:tcW w:w="45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object</w:t>
            </w:r>
          </w:p>
        </w:tc>
        <w:tc>
          <w:tcPr>
            <w:tcW w:w="452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6周期数据，key=周期名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periods[&lt;周期&gt;]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字段（number|null，rank 为 "44/661" 字符串）：</w:t>
      </w:r>
    </w:p>
    <w:p>
      <w:pPr>
        <w:numPr>
          <w:ilvl w:val="0"/>
          <w:numId w:val="23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yield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收益率%</w:t>
      </w:r>
    </w:p>
    <w:p>
      <w:pPr>
        <w:numPr>
          <w:ilvl w:val="0"/>
          <w:numId w:val="24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maxDrawdown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最大回撤%</w:t>
      </w:r>
    </w:p>
    <w:p>
      <w:pPr>
        <w:numPr>
          <w:ilvl w:val="0"/>
          <w:numId w:val="25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sharpe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夏普</w:t>
      </w:r>
    </w:p>
    <w:p>
      <w:pPr>
        <w:numPr>
          <w:ilvl w:val="0"/>
          <w:numId w:val="26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volatility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年化波动率%</w:t>
      </w:r>
    </w:p>
    <w:p>
      <w:pPr>
        <w:numPr>
          <w:ilvl w:val="0"/>
          <w:numId w:val="27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rank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同类排名（"44/661"格式）</w:t>
      </w:r>
    </w:p>
    <w:p>
      <w:pPr>
        <w:numPr>
          <w:ilvl w:val="0"/>
          <w:numId w:val="28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trackErr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（仅指数基金）跟踪误差%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"FRT06", "type": "comparison-table", "chartType": "table",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"defaultPeriod": "近1年",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"availablePeriods": ["近1月","近3月","近6月","近1年","近3年","近5年"],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"hasIndexFund": false,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"metrics": [{"key":"yield","label":"收益率","fmt":"pct2"},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    {"key":"rank","label":"同类排名","fmt":"rank"}],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"funds": [ { "code":"018125","name":"永赢先进制造智选混合C","fundType":"混合型-偏股",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     "periods": { "近1年": {"yield":25.3,"maxDrawdown":-20.1,"sharpe":1.2,"volatility":18.5,"rank":"120/6893"} } } ]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808080"/>
          <w:sz w:val="22"/>
        </w:rPr>
        <w:t>周期切换由前端控制：</w:t>
      </w:r>
      <w:r>
        <w:rPr>
          <w:rFonts w:ascii="宋体" w:hAnsi="Courier New" w:eastAsia="宋体"/>
          <w:b w:val="0"/>
          <w:i w:val="0"/>
          <w:color w:val="808080"/>
          <w:sz w:val="22"/>
        </w:rPr>
        <w:t>defaultPeriod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初始值，用户切换后从 </w:t>
      </w:r>
      <w:r>
        <w:rPr>
          <w:rFonts w:ascii="宋体" w:hAnsi="Courier New" w:eastAsia="宋体"/>
          <w:b w:val="0"/>
          <w:i w:val="0"/>
          <w:color w:val="808080"/>
          <w:sz w:val="22"/>
        </w:rPr>
        <w:t>periods[选中周期]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重新取数渲染。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3.10 FRT07 · 费率卡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"table"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"table"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25"/>
        <w:gridCol w:w="4648"/>
        <w:gridCol w:w="4361"/>
      </w:tblGrid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mgmtFee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管理费率（%）</w:t>
            </w:r>
          </w:p>
        </w:tc>
      </w:tr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custodyFee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托管费率（%）</w:t>
            </w:r>
          </w:p>
        </w:tc>
      </w:tr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salesFee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销售服务费率（%）</w:t>
            </w:r>
          </w:p>
        </w:tc>
      </w:tr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subscFee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申购费（多档拼接文本，换行分隔）</w:t>
            </w:r>
          </w:p>
        </w:tc>
      </w:tr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subscFeeTiers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array[{condition, rate, feeRate, fixedFee}]|null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申购费阶梯明细</w:t>
            </w:r>
          </w:p>
        </w:tc>
      </w:tr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redeemFee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赎回费（多档拼接文本）</w:t>
            </w:r>
          </w:p>
        </w:tc>
      </w:tr>
      <w:tr>
        <w:trPr>
          <w:trHeight w:val="495" w:hRule="atLeast"/>
        </w:trPr>
        <w:tc>
          <w:tcPr>
            <w:tcW w:w="462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redeemFeeTiers</w:t>
            </w:r>
          </w:p>
        </w:tc>
        <w:tc>
          <w:tcPr>
            <w:tcW w:w="4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array[{condition, rate, feeRate, fixedFee}]</w:t>
            </w:r>
          </w:p>
        </w:tc>
        <w:tc>
          <w:tcPr>
            <w:tcW w:w="436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赎回费阶梯明细</w:t>
            </w:r>
          </w:p>
        </w:tc>
      </w:tr>
    </w:tbl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808080"/>
          <w:sz w:val="22"/>
        </w:rPr>
        <w:t>subscFeeTiers[].rate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是展示文本（如"0.15%"），</w:t>
      </w:r>
      <w:r>
        <w:rPr>
          <w:rFonts w:ascii="宋体" w:hAnsi="Courier New" w:eastAsia="宋体"/>
          <w:b w:val="0"/>
          <w:i w:val="0"/>
          <w:color w:val="808080"/>
          <w:sz w:val="22"/>
        </w:rPr>
        <w:t>feeRate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是数值。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3.11 FRT08 · 资产配置卡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"chart"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"pie"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565"/>
        <w:gridCol w:w="4609"/>
        <w:gridCol w:w="4460"/>
      </w:tblGrid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stockRatio / bondRatio / cashRatio / fundRatio / otherRatio</w:t>
            </w:r>
          </w:p>
        </w:tc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各资产占比（%）</w:t>
            </w:r>
          </w:p>
        </w:tc>
      </w:tr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assets</w:t>
            </w:r>
          </w:p>
        </w:tc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array[{name, ratio}]</w:t>
            </w:r>
          </w:p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饼图数据，ratio 为%</w:t>
            </w:r>
          </w:p>
        </w:tc>
      </w:tr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reportDate</w:t>
            </w:r>
          </w:p>
        </w:tc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报告期</w:t>
            </w:r>
          </w:p>
        </w:tc>
      </w:tr>
      <w:tr>
        <w:trPr>
          <w:trHeight w:val="495" w:hRule="atLeast"/>
        </w:trPr>
        <w:tc>
          <w:tcPr>
            <w:tcW w:w="45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totalAsset / netAsset</w:t>
            </w:r>
          </w:p>
        </w:tc>
        <w:tc>
          <w:tcPr>
            <w:tcW w:w="46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6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总资产/净资产（元）</w:t>
            </w:r>
          </w:p>
        </w:tc>
      </w:tr>
    </w:tbl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"FRT08", "type": "chart", "chartType": "pie",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"stockRatio": 85.2, "bondRatio": 3.1, "cashRatio": 5.4, "fundRatio": 0, "otherRatio": 6.3,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"assets": [{"name":"股票","ratio":85.2},{"name":"债券","ratio":3.1},{"name":"银行存款","ratio":5.4},{"name":"其他","ratio":6.3}],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"reportDate": "2026-03-31"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3.12 FRT09 · 债券持仓卡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"chart"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"pie"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50"/>
        <w:gridCol w:w="4573"/>
        <w:gridCol w:w="4411"/>
      </w:tblGrid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bondTypes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array[{name, ratio}]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券种配置，ratio 为%（债券内部占比）</w:t>
            </w:r>
          </w:p>
        </w:tc>
      </w:tr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interestRateBond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利率债占比%</w:t>
            </w:r>
          </w:p>
        </w:tc>
      </w:tr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creditBond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信用债占比%</w:t>
            </w:r>
          </w:p>
        </w:tc>
      </w:tr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duration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修正久期（年）</w:t>
            </w:r>
          </w:p>
        </w:tc>
      </w:tr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leverage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杠杆率</w:t>
            </w:r>
          </w:p>
        </w:tc>
      </w:tr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cr5BondHold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前5重仓债券占净值比%</w:t>
            </w:r>
          </w:p>
        </w:tc>
      </w:tr>
      <w:tr>
        <w:trPr>
          <w:trHeight w:val="495" w:hRule="atLeast"/>
        </w:trPr>
        <w:tc>
          <w:tcPr>
            <w:tcW w:w="46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reportDate</w:t>
            </w:r>
          </w:p>
        </w:tc>
        <w:tc>
          <w:tcPr>
            <w:tcW w:w="4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1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报告期</w:t>
            </w:r>
          </w:p>
        </w:tc>
      </w:tr>
    </w:tbl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3.13 FRT10-A · 非条件选基卡（"跟我选"入口卡）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1"/>
        </w:rPr>
        <w:t>type: "card"</w:t>
      </w:r>
      <w:r>
        <w:rPr>
          <w:rFonts w:ascii="宋体" w:hAnsi="Times New Roman" w:eastAsia="宋体"/>
          <w:b w:val="0"/>
          <w:i w:val="0"/>
          <w:color w:val="000000"/>
          <w:sz w:val="21"/>
          <w:shd w:fill="fafafa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cardType: "strategy_shelf"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493"/>
        <w:gridCol w:w="3705"/>
        <w:gridCol w:w="5436"/>
      </w:tblGrid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字段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类型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title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卡片标题，如"跟我选"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subtitle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副标题，如"选基好思路，三步骤严选优基"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tabs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array[{key, label, active, type}]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顶部标签切换，最后一项通常为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type:"link"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strategies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array[{tag, title, fundName, metrics}]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策略条目列表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strategies[].tag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{text, style}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左侧标签，如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{"text":"长","style":"red"}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strategies[].title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策略名称，如"长期高盈利"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strategies[].fundName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关联基金名称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strategies[].metrics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array[{value, label}]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右侧指标，如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[{"value":"100.00%","label":"历史盈利概率"}]</w:t>
            </w:r>
          </w:p>
        </w:tc>
      </w:tr>
      <w:tr>
        <w:trPr>
          <w:trHeight w:val="495" w:hRule="atLeast"/>
        </w:trPr>
        <w:tc>
          <w:tcPr>
            <w:tcW w:w="449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action</w:t>
            </w:r>
          </w:p>
        </w:tc>
        <w:tc>
          <w:tcPr>
            <w:tcW w:w="3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{text, url, type}</w:t>
            </w:r>
          </w:p>
        </w:tc>
        <w:tc>
          <w:tcPr>
            <w:tcW w:w="5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底部按钮，如跳转小程序页面</w:t>
            </w:r>
          </w:p>
        </w:tc>
      </w:tr>
    </w:tbl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"cardId": "FRT10-A",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"card",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"cardType": "strategy_shelf",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"title": "跟我选",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"subtitle": "选基好思路，三步骤严选优基",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"tabs":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"key": "long_term", "label": "长盈常驻", "active": true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"key": "excess", "label": "超额收益", "active": false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"key": "overseas", "label": "海外优选", "active": false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"key": "more", "label": "更多", "type": "link"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"strategies":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"tag": { "text": "长", "style": "red"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"title": "长期高盈利",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"fundName": "嘉实增强信用定期债券",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"metrics":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{ "value": "100.00%", "label": "历史盈利概率"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"tag": { "text": "年", "style": "red"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"title": "历史年年正收益",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"fundName": "鹏华丰禄债券",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"metrics":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{ "value": "+3.00%", "label": "近1年收益"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"tag": { "text": "胜", "style": "blue"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"title": "季度胜率高",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"fundName": "西部利得量化成长混合A",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"metrics":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{ "value": "79.00%", "label": "季度胜率"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"action":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"text": "去跟我选看看",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"url": "/pages/fund-pick/index",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"type": "navigate"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3.14 FRT10-B · 条件选基结果卡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1"/>
        </w:rPr>
        <w:t>type: "card"</w:t>
      </w:r>
      <w:r>
        <w:rPr>
          <w:rFonts w:ascii="宋体" w:hAnsi="Times New Roman" w:eastAsia="宋体"/>
          <w:b w:val="0"/>
          <w:i w:val="0"/>
          <w:color w:val="000000"/>
          <w:sz w:val="21"/>
          <w:shd w:fill="fafafa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1"/>
        </w:rPr>
        <w:t>cardType: "fund_selection"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820"/>
        <w:gridCol w:w="2866"/>
        <w:gridCol w:w="6948"/>
      </w:tblGrid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字段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类型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1"/>
                <w:i w:val="0"/>
                <w:color w:val="000000"/>
                <w:sz w:val="21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title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卡片标题，固定"选基结果"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total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匹配基金总数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conditions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array[{label, value, raw}]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顶部条件 bar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conditions[].raw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object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结构化条件，如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{"field":"return1y","op":"gt","value":30}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funds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array[{rank, fundCode, fundName, return1y, maxDrawdown, fundScale}]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匹配基金列表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funds[].rank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列表序号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funds[].fundCode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基金代码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funds[].fundName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基金名称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funds[].return1y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近1年收益率（%）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funds[].maxDrawdown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最大回撤（%）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funds[].fundScale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基金规模（亿元）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moreText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底部提示，如"还有 N 只匹配基金，请联系客户经理获取完整列表"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emptyTip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空态提示（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total:0</w:t>
            </w:r>
          </w:p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 时）</w:t>
            </w:r>
          </w:p>
        </w:tc>
      </w:tr>
      <w:tr>
        <w:trPr>
          <w:trHeight w:val="495" w:hRule="atLeast"/>
        </w:trPr>
        <w:tc>
          <w:tcPr>
            <w:tcW w:w="3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suggestion</w:t>
            </w:r>
          </w:p>
        </w:tc>
        <w:tc>
          <w:tcPr>
            <w:tcW w:w="28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w="69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>空态建议（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1"/>
              </w:rPr>
              <w:t>total:0</w:t>
            </w:r>
          </w:p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1"/>
              </w:rPr>
              <w:t xml:space="preserve"> 时）</w:t>
            </w:r>
          </w:p>
        </w:tc>
      </w:tr>
    </w:tbl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"cardId": "FRT10-B",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"card",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"cardType": "fund_selection",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"title": "选基结果",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"total": 2,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"conditions":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"label": "近1年收益", "value": "&gt; 30%", "raw": { "field": "return1y", "op": "gt", "value": 30 }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"label": "最大回撤", "value": "&lt; 20%", "raw": { "field": "maxDrawdown", "op": "lt", "value": 20 }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"label": "主题", "value": "AI/先进制造", "raw": { "field": "theme", "value": "AI/先进制造" }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"funds":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"rank": 1,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"fundCode": "018125",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"fundName": "永赢先进制造智选混合C",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"return1y": 42.8,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"maxDrawdown": -14.3,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"fundScale": 2.35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"rank": 2,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"fundCode": "013370",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"fundName": "汇添富自主核心科技C",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"return1y": 35.2,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"maxDrawdown": -18.5,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"fundScale": 1.82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"cardId": "FRT10-B",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"type": "card",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"cardType": "fund_selection",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"title": "选基结果",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"total": 0,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"conditions":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"label": "近1年收益", "value": "&gt; 50%", "raw": { "field": "return1y", "op": "gt", "value": 50 }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{ "label": "最大回撤", "value": "&lt; 5%", "raw": { "field": "maxDrawdown", "op": "lt", "value": 5 }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"emptyTip": "当前没有满足条件的基金",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"suggestion": "建议放宽筛选条件或联系客户经理获取更多推荐"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3.15 FRT11 · 持有人结构卡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"chart"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"pie"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66"/>
        <w:gridCol w:w="4554"/>
        <w:gridCol w:w="4414"/>
      </w:tblGrid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individualRatio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个人持有比例%</w:t>
            </w:r>
          </w:p>
        </w:tc>
      </w:tr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institutionRatio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机构持有比例%</w:t>
            </w:r>
          </w:p>
        </w:tc>
      </w:tr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employeeRatio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员工持有比例%</w:t>
            </w:r>
          </w:p>
        </w:tc>
      </w:tr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holderCount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持有人户数</w:t>
            </w:r>
          </w:p>
        </w:tc>
      </w:tr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avgHolding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户均持有份额（份）</w:t>
            </w:r>
          </w:p>
        </w:tc>
      </w:tr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top10HolderRatio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前10大持有人占比%</w:t>
            </w:r>
          </w:p>
        </w:tc>
      </w:tr>
      <w:tr>
        <w:trPr>
          <w:trHeight w:val="495" w:hRule="atLeast"/>
        </w:trPr>
        <w:tc>
          <w:tcPr>
            <w:tcW w:w="466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reportDate</w:t>
            </w:r>
          </w:p>
        </w:tc>
        <w:tc>
          <w:tcPr>
            <w:tcW w:w="455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报告期</w:t>
            </w:r>
          </w:p>
        </w:tc>
      </w:tr>
    </w:tbl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808080"/>
          <w:sz w:val="22"/>
        </w:rPr>
        <w:t>饼图用 individualRatio / institutionRatio / employeeRatio。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3.16 MGT01 · 基金经理简介卡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"summary"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"text"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689"/>
        <w:gridCol w:w="4564"/>
        <w:gridCol w:w="4381"/>
      </w:tblGrid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经理姓名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sex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性别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education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学历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workingYears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从业年限（年）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manageDuration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管理年限（年）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managedProducts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在管产品数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adeptInvestField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擅长领域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belongedCompany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曾任职公司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intro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简历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totalScale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在管总规模（亿元）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rrSingleYear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任职年化回报%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rrSinceStart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任职以来回报%</w:t>
            </w:r>
          </w:p>
        </w:tc>
      </w:tr>
      <w:tr>
        <w:trPr>
          <w:trHeight w:val="495" w:hRule="atLeast"/>
        </w:trPr>
        <w:tc>
          <w:tcPr>
            <w:tcW w:w="46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maxDrawdown</w:t>
            </w:r>
          </w:p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number|null</w:t>
            </w:r>
          </w:p>
        </w:tc>
        <w:tc>
          <w:tcPr>
            <w:tcW w:w="43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任职最大回撤%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多经理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（多经理基金）返回结构不同：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 "cardId": "MGT01", "type": "summary", "chartType": "text",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"data": { "managers": [ { "name": "张三", "data": { ...单经理字段 } }, { "name": "李四", "data": {...} } ] } 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3.17 MGT04 · 经理行业分布卡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type: "industry"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chartType: "industry"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2648"/>
        <w:gridCol w:w="2039"/>
        <w:gridCol w:w="3569"/>
      </w:tblGrid>
      <w:tr>
        <w:trPr>
          <w:trHeight w:val="810" w:hRule="atLeast"/>
        </w:trPr>
        <w:tc>
          <w:tcPr>
            <w:tcW w:w="2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字段</w:t>
            </w:r>
          </w:p>
        </w:tc>
        <w:tc>
          <w:tcPr>
            <w:tcW w:w="2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类型</w:t>
            </w:r>
          </w:p>
        </w:tc>
        <w:tc>
          <w:tcPr>
            <w:tcW w:w="3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2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industries</w:t>
            </w:r>
          </w:p>
        </w:tc>
        <w:tc>
          <w:tcPr>
            <w:tcW w:w="2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array[{name, ratio, prevRatio, change}]</w:t>
            </w:r>
          </w:p>
        </w:tc>
        <w:tc>
          <w:tcPr>
            <w:tcW w:w="3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行业分布，ratio 为%（最新），change=环比变动</w:t>
            </w:r>
          </w:p>
        </w:tc>
      </w:tr>
      <w:tr>
        <w:trPr>
          <w:trHeight w:val="495" w:hRule="atLeast"/>
        </w:trPr>
        <w:tc>
          <w:tcPr>
            <w:tcW w:w="2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topIndustries</w:t>
            </w:r>
          </w:p>
        </w:tc>
        <w:tc>
          <w:tcPr>
            <w:tcW w:w="2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array</w:t>
            </w:r>
          </w:p>
        </w:tc>
        <w:tc>
          <w:tcPr>
            <w:tcW w:w="3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前12行业（同 industries 子集）</w:t>
            </w:r>
          </w:p>
        </w:tc>
      </w:tr>
      <w:tr>
        <w:trPr>
          <w:trHeight w:val="495" w:hRule="atLeast"/>
        </w:trPr>
        <w:tc>
          <w:tcPr>
            <w:tcW w:w="2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reportDate</w:t>
            </w:r>
          </w:p>
        </w:tc>
        <w:tc>
          <w:tcPr>
            <w:tcW w:w="2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3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最新报告期</w:t>
            </w:r>
          </w:p>
        </w:tc>
      </w:tr>
      <w:tr>
        <w:trPr>
          <w:trHeight w:val="495" w:hRule="atLeast"/>
        </w:trPr>
        <w:tc>
          <w:tcPr>
            <w:tcW w:w="264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prevReportDate</w:t>
            </w:r>
          </w:p>
        </w:tc>
        <w:tc>
          <w:tcPr>
            <w:tcW w:w="2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string|null</w:t>
            </w:r>
          </w:p>
        </w:tc>
        <w:tc>
          <w:tcPr>
            <w:tcW w:w="35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上一报告期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多经理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返回 </w:t>
      </w:r>
      <w:r>
        <w:rPr>
          <w:rFonts w:ascii="宋体" w:hAnsi="Courier New" w:eastAsia="宋体"/>
          <w:b w:val="0"/>
          <w:i w:val="0"/>
          <w:color w:val="000000"/>
          <w:sz w:val="22"/>
        </w:rPr>
        <w:t>{ managers: [{name, data:{...}}] }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4. 渲染路由映射表（section.type / cardId → 组件）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>前端按以下规则路由到具体渲染组件：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3180"/>
        <w:gridCol w:w="2573"/>
        <w:gridCol w:w="7881"/>
      </w:tblGrid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触发条件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渲染组件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数据来源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'summary'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概要卡组件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sec.narrative + highlightMetrics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'conclusion'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结论卡组件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sec.coreAdvice / actionItems / narrative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'FRT01-A'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'FRT01-B'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基础信息卡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'FRT02'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业绩走势图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'FRT03'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'FRT03-X'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回撤图 / 风险指标表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'FRT04-A'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'FRT04-B'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行业 / 重仓卡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'FRT05'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归因卡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'FRT06'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对比表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'FRT07'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费率卡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'FRT08'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资产配置饼图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'FRT09'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债券持仓卡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'FRT11'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持有人结构卡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sec.cardId === 'MGT01'</w:t>
            </w: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 xml:space="preserve"> 或 </w:t>
            </w: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'MGT04'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经理卡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'style_label'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风格速览组件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sec.styleA / styleB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'dimension'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维度横比段落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sec.narrative + 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'compare_table'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对比表（同 FRT06）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sec.cardData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'decision_tree'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决策树组件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sec.scenarios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'common_risk'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共同风险组件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sec.risks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'info_query'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纯文字段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sec.narrative</w:t>
            </w:r>
          </w:p>
        </w:tc>
      </w:tr>
      <w:tr>
        <w:trPr>
          <w:trHeight w:val="495" w:hRule="atLeast"/>
        </w:trPr>
        <w:tc>
          <w:tcPr>
            <w:tcW w:w="31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Courier New" w:eastAsia="宋体"/>
                <w:b w:val="0"/>
                <w:i w:val="0"/>
                <w:color w:val="000000"/>
                <w:sz w:val="22"/>
              </w:rPr>
              <w:t>sec.type === 'recommendation_list'</w:t>
            </w:r>
          </w:p>
        </w:tc>
        <w:tc>
          <w:tcPr>
            <w:tcW w:w="25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推荐列表组件</w:t>
            </w:r>
          </w:p>
        </w:tc>
        <w:tc>
          <w:tcPr>
            <w:tcW w:w="78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sec.items（+ meta.queryConditions 仅条件推荐）</w:t>
            </w:r>
          </w:p>
        </w:tc>
      </w:tr>
    </w:tbl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808080"/>
          <w:sz w:val="22"/>
        </w:rPr>
        <w:t>现有小程序组件命名参考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（如复用可直接对应）：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card-return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(FRT02)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card-risk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(FRT03/FRT03-X)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card-holding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(FRT01-A/B/FRT04-A/B) /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card-attribution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(FRT05)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card-compare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(FRT06)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card-fee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(FRT07) /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card-asset-allocation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(FRT08)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card-bond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(FRT09) / 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card-holders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(FRT11) /</w:t>
      </w:r>
      <w:r>
        <w:rPr>
          <w:rFonts w:ascii="宋体" w:hAnsi="Courier New" w:eastAsia="宋体"/>
          <w:b w:val="0"/>
          <w:i w:val="0"/>
          <w:color w:val="808080"/>
          <w:sz w:val="22"/>
        </w:rPr>
        <w:t>card-manager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(MGT01/MGT04)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5. 附属卡机制（companionCardIds）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部分卡片成对出现，后端通过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section.companionCardIds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声明附属关系：</w:t>
      </w:r>
    </w:p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  <w:tblLayout w:type="fixed"/>
      </w:tblPr>
      <w:tblGrid>
        <w:gridCol w:w="4594"/>
        <w:gridCol w:w="4597"/>
        <w:gridCol w:w="4443"/>
      </w:tblGrid>
      <w:tr>
        <w:trPr>
          <w:trHeight w:val="495" w:hRule="atLeast"/>
        </w:trPr>
        <w:tc>
          <w:tcPr>
            <w:tcW w:w="45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主卡</w:t>
            </w:r>
          </w:p>
        </w:tc>
        <w:tc>
          <w:tcPr>
            <w:tcW w:w="45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附属卡</w:t>
            </w:r>
          </w:p>
        </w:tc>
        <w:tc>
          <w:tcPr>
            <w:tcW w:w="4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说明</w:t>
            </w:r>
          </w:p>
        </w:tc>
      </w:tr>
      <w:tr>
        <w:trPr>
          <w:trHeight w:val="495" w:hRule="atLeast"/>
        </w:trPr>
        <w:tc>
          <w:tcPr>
            <w:tcW w:w="45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FRT04-B（重仓股）</w:t>
            </w:r>
          </w:p>
        </w:tc>
        <w:tc>
          <w:tcPr>
            <w:tcW w:w="45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FRT04-A（行业）</w:t>
            </w:r>
          </w:p>
        </w:tc>
        <w:tc>
          <w:tcPr>
            <w:tcW w:w="4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重仓股卡下方展示行业分布</w:t>
            </w:r>
          </w:p>
        </w:tc>
      </w:tr>
      <w:tr>
        <w:trPr>
          <w:trHeight w:val="495" w:hRule="atLeast"/>
        </w:trPr>
        <w:tc>
          <w:tcPr>
            <w:tcW w:w="45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MGT01（经理简介）</w:t>
            </w:r>
          </w:p>
        </w:tc>
        <w:tc>
          <w:tcPr>
            <w:tcW w:w="45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MGT04（经理行业）</w:t>
            </w:r>
          </w:p>
        </w:tc>
        <w:tc>
          <w:tcPr>
            <w:tcW w:w="4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/>
                <w:b w:val="0"/>
                <w:i w:val="0"/>
                <w:color w:val="000000"/>
                <w:sz w:val="22"/>
              </w:rPr>
              <w:t>经理卡下方展示行业偏好</w:t>
            </w:r>
          </w:p>
        </w:tc>
      </w:tr>
    </w:tbl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前端渲染主卡时，若存在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companionCardIds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，需从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cards[]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取对应数据一并渲染。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6. 兼容性说明（v2.0 废弃字段）</w:t>
      </w:r>
    </w:p>
    <w:p>
      <w:pPr>
        <w:numPr>
          <w:ilvl w:val="0"/>
          <w:numId w:val="29"/>
        </w:numPr>
        <w:spacing w:beforeLines="100" w:after="50" w:line="360" w:lineRule="auto"/>
        <w:ind w:left="360"/>
        <w:jc w:val="left"/>
        <w:rPr/>
      </w:pPr>
      <w:r>
        <w:rPr>
          <w:rFonts w:ascii="宋体" w:hAnsi="Courier New" w:eastAsia="宋体"/>
          <w:b w:val="0"/>
          <w:i w:val="0"/>
          <w:color w:val="000000"/>
          <w:sz w:val="22"/>
        </w:rPr>
        <w:t>text</w:t>
      </w:r>
      <w:r>
        <w:rPr>
          <w:rFonts w:ascii="宋体" w:hAnsi="Times New Roman" w:eastAsia="宋体"/>
          <w:b w:val="1"/>
          <w:i w:val="0"/>
          <w:color w:val="000000"/>
          <w:sz w:val="22"/>
        </w:rPr>
        <w:t xml:space="preserve"> 字段（v1 遗留，已废弃）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：旧版后端会返回整篇 Markdown 拼接文本，v2.0 起</w:t>
      </w:r>
      <w:r>
        <w:rPr>
          <w:rFonts w:ascii="宋体" w:hAnsi="Times New Roman" w:eastAsia="宋体"/>
          <w:b w:val="1"/>
          <w:i w:val="0"/>
          <w:color w:val="000000"/>
          <w:sz w:val="22"/>
        </w:rPr>
        <w:t>不再要求、前端忽略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。如后端暂未升级仍返回，新前端以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sections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为准，不渲染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text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。后续后端版本将彻底移除。</w:t>
      </w:r>
    </w:p>
    <w:p>
      <w:pPr>
        <w:numPr>
          <w:ilvl w:val="0"/>
          <w:numId w:val="30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 xml:space="preserve">顶层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conclusion</w:t>
      </w:r>
      <w:r>
        <w:rPr>
          <w:rFonts w:ascii="宋体" w:hAnsi="Times New Roman" w:eastAsia="宋体"/>
          <w:b w:val="1"/>
          <w:i w:val="0"/>
          <w:color w:val="000000"/>
          <w:sz w:val="22"/>
        </w:rPr>
        <w:t xml:space="preserve"> 字段（v1 遗留，已移除）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：结论不再有平行顶层字段，统一由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sections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type:"conclusion"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段承载。前端不读取顶层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conclusion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，避免与段落内结论重复/不一致（v1 的双源问题）。</w:t>
      </w:r>
    </w:p>
    <w:p>
      <w:pPr>
        <w:numPr>
          <w:ilvl w:val="0"/>
          <w:numId w:val="31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空值兜底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：所有 </w:t>
      </w:r>
      <w:r>
        <w:rPr>
          <w:rFonts w:ascii="宋体" w:hAnsi="Courier New" w:eastAsia="宋体"/>
          <w:b w:val="0"/>
          <w:i w:val="0"/>
          <w:color w:val="000000"/>
          <w:sz w:val="22"/>
        </w:rPr>
        <w:t>data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字段均可能为 null，前端不可假设非空。卡片数据为空时整卡不渲染（后端已做 minimumData 检查，但前端仍需防御）。</w:t>
      </w:r>
    </w:p>
    <w:p>
      <w:pPr>
        <w:numPr>
          <w:ilvl w:val="0"/>
          <w:numId w:val="32"/>
        </w:numPr>
        <w:spacing w:beforeLines="100" w:after="50" w:line="360" w:lineRule="auto"/>
        <w:ind w:left="36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占比单位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：FRT04-A / FRT09 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w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/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ratio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是 </w:t>
      </w:r>
      <w:r>
        <w:rPr>
          <w:rFonts w:ascii="宋体" w:hAnsi="Times New Roman" w:eastAsia="宋体"/>
          <w:b w:val="1"/>
          <w:i w:val="0"/>
          <w:color w:val="000000"/>
          <w:sz w:val="22"/>
        </w:rPr>
        <w:t>0~1 小数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，前端需 ×100 显示。</w:t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7. 渲染顺序约定（典型顺序参考）</w:t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实际顺序以 </w:t>
      </w:r>
      <w:r>
        <w:rPr>
          <w:rFonts w:ascii="宋体" w:hAnsi="Courier New" w:eastAsia="宋体"/>
          <w:b w:val="0"/>
          <w:i w:val="0"/>
          <w:color w:val="808080"/>
          <w:sz w:val="22"/>
        </w:rPr>
        <w:t>sections[]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 数组顺序为准，下表仅为典型情况。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单品解读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summary → performance(FRT02) → risk(FRT03) → holdings(FRT04-A/B)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→ attribution(FRT05) → asset(FRT08) → fee(FRT07) → manager(MGT01+MGT04) → conclusion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涨跌归因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（归因主导，其余段可精简）：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summary → attribution(FRT05，主角，含 campisi/行业/择时) → performance(FRT02) → risk(FRT03) → conclusion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基金对比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summary → style_label → dimension×(多段，纯文字横比) → compare_table(FRT06) → decision_tree → common_risk → conclusion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信息查询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summary → info_query×(1~N 段) → conclusion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1"/>
          <w:i w:val="0"/>
          <w:color w:val="000000"/>
          <w:sz w:val="22"/>
        </w:rPr>
        <w:t>条件/非条件推荐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summary → recommendation_list( items[]，条件推荐附 queryConditions 芯片) → conclusion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spacing w:beforeLines="100" w:after="50" w:line="360" w:lineRule="auto"/>
        <w:ind w:left="0"/>
        <w:rPr/>
      </w:pPr>
      <w:r>
        <w:rPr>
          <w:rFonts w:ascii="宋体" w:eastAsia="宋体"/>
        </w:rPr>
        <w:pict>
          <v:rect id="_x0000_i1025" style="width:0;height:1.5pt" o:hr="t" o:hrstd="t" o:hralign="center" fillcolor="#a0a0a0" stroked="f"/>
        </w:pic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附录 A：最小可运行示例（单品解读）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  <w:b w:val="0"/>
          <w:i w:val="0"/>
          <w:color w:val="df2a3f"/>
          <w:sz w:val="22"/>
        </w:rPr>
        <w:t>carddata是claw直接返回数据？还是返回cardid，前端取api接口数据填充。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 xml:space="preserve"> "meta":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"scene": "问基金",                      // ⑤ 新增必选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"intent": "single",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"framework": "股票",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"funds": [ { "fundCode": "018125", "fundName": "永赢先进制造智选混合C" }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"sections":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"type": "summary", "title": "核心观点",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"narrative": "永赢先进制造智选混合C近6月涨了==+25.3%==，同类排名前10%。"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"type": "performance", "title": "业绩表现", "cardId": "FRT02",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"narrative": "近6月收益==+25.3%==，跑赢同类与沪深300。"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"type": "conclusion", "title": "综合建议",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"coreAdvice": "建议作为权益底仓长期持有",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"investmentAdvice": "关注市场波动；基金过往业绩不代表未来表现。" }   // ③ actionItems→investmentAdvice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"cards":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"cardId": "FRT02",                    // ② 去掉根级 type/chartType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"data": {                             // ① 改用 periods 包装 + fundName/fundCode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"fundName": "永赢先进制造智选混合C",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"fundCode": "018125",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"defaultPeriod": "近6月",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"periods":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"近6月":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"points": [{"d":"2025-01-02","v":0.0},{"d":"2025-06-09","v":25.3}],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"categoryPoints": [{"d":"2025-01-02","v":0.0},{"d":"2025-06-09","v":12.1}],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"benchmarkPoints": [{"d":"2025-01-02","v":0.0},{"d":"2025-06-09","v":8.5}],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"totalReturn": 25.3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"risk_warning": "基金过往业绩不代表未来表现，投资有风险。",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"followUp": ["回撤情况怎么样？", "经理是谁？", "同类排名呢？"]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/>
        </w:rPr>
        <w:t>附录 B：最小可运行示例（条件推荐）</w:t>
      </w:r>
    </w:p>
    <w:p>
      <w:pPr>
        <w:pStyle w:val="000019"/>
        <w:pBdr>
          <w:top w:val="single" w:color="404040" w:themeColor="text1" w:sz="4" w:space="1"/>
          <w:left w:val="single" w:color="404040" w:themeColor="text1" w:sz="4" w:space="4"/>
          <w:bottom w:val="single" w:color="404040" w:themeColor="text1" w:sz="4" w:space="1"/>
          <w:right w:val="single" w:color="40404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/>
      </w:pPr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"version": "2.2",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"meta":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"scene": "问基金",                                  // ① 新增必选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"intent": "recommend_conditional",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"framework": "股票",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"funds": [],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"queryConditions": { "riskLevel": "R4", "minReturn1y": 8, "maxDrawdown": 10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"sections":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"type": "summary", "title": "筛选结果",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"narrative": "按您的条件（R4、近1年≥8%、回撤&lt;10%）匹配到 2 只基金。"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 "type": "recommendation_list", "title": "为您筛选出以下基金",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"narrative": "符合条件的基金如下：",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"items":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{ "rank": 1, "fundCode": "018125", "fundName": "永赢先进制造智选混合C",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"matchScore": 92, "matchedConditions": ["风险等级匹配","近1年收益达标"],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"reason": "弹性强、赛道契合。",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"data": { "fundName": "永赢先进制造智选混合C", "fundCode": "018125",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"fundType": "混合型-偏股", "riskLevel": "R4", "fundSize": 2.35 } 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{ "rank": 2, "fundCode": "016873", "fundName": "广发远见智选混合A",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"matchScore": 85, "matchedConditions": ["风险等级匹配"],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"reason": "行业分散度更高。",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"data": { "fundName": "广发远见智选混合A", "fundCode": "016873",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"fundType": "混合型-偏股", "riskLevel": "R4", "fundSize": 5.10 }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] 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"risk_warning": "基金过往业绩不代表未来表现，投资有风险。",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"followUp": ["第一只的回撤情况？", "这两只怎么选？"]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</w:p>
    <w:sectPr>
      <w:pgSz w:w="11907" w:h="16839" w:code="9"/>
      <w:pgMar w:top="1440" w:right="1440" w:bottom="1440" w:left="144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num w:numId="12">
    <w:abstractNumId w:val="27"/>
  </w:num>
  <w:num w:numId="25">
    <w:abstractNumId w:val="19"/>
  </w:num>
  <w:num w:numId="20">
    <w:abstractNumId w:val="11"/>
  </w:num>
  <w:num w:numId="19">
    <w:abstractNumId w:val="25"/>
  </w:num>
  <w:num w:numId="4">
    <w:abstractNumId w:val="29"/>
  </w:num>
  <w:num w:numId="16">
    <w:abstractNumId w:val="5"/>
  </w:num>
  <w:num w:numId="8">
    <w:abstractNumId w:val="23"/>
  </w:num>
  <w:num w:numId="26">
    <w:abstractNumId w:val="2"/>
  </w:num>
  <w:num w:numId="21">
    <w:abstractNumId w:val="10"/>
  </w:num>
  <w:num w:numId="15">
    <w:abstractNumId w:val="24"/>
  </w:num>
  <w:num w:numId="17">
    <w:abstractNumId w:val="17"/>
  </w:num>
  <w:num w:numId="6">
    <w:abstractNumId w:val="16"/>
  </w:num>
  <w:num w:numId="31">
    <w:abstractNumId w:val="26"/>
  </w:num>
  <w:num w:numId="9">
    <w:abstractNumId w:val="30"/>
  </w:num>
  <w:num w:numId="11">
    <w:abstractNumId w:val="18"/>
  </w:num>
  <w:num w:numId="2">
    <w:abstractNumId w:val="6"/>
  </w:num>
  <w:num w:numId="18">
    <w:abstractNumId w:val="15"/>
  </w:num>
  <w:num w:numId="29">
    <w:abstractNumId w:val="20"/>
  </w:num>
  <w:num w:numId="23">
    <w:abstractNumId w:val="4"/>
  </w:num>
  <w:num w:numId="32">
    <w:abstractNumId w:val="1"/>
  </w:num>
  <w:num w:numId="1">
    <w:abstractNumId w:val="12"/>
  </w:num>
  <w:num w:numId="14">
    <w:abstractNumId w:val="28"/>
  </w:num>
  <w:num w:numId="13">
    <w:abstractNumId w:val="21"/>
  </w:num>
  <w:num w:numId="27">
    <w:abstractNumId w:val="22"/>
  </w:num>
  <w:num w:numId="3">
    <w:abstractNumId w:val="9"/>
  </w:num>
  <w:num w:numId="30">
    <w:abstractNumId w:val="0"/>
  </w:num>
  <w:num w:numId="28">
    <w:abstractNumId w:val="7"/>
  </w:num>
  <w:num w:numId="24">
    <w:abstractNumId w:val="8"/>
  </w:num>
  <w:num w:numId="10">
    <w:abstractNumId w:val="14"/>
  </w:num>
  <w:num w:numId="5">
    <w:abstractNumId w:val="31"/>
  </w:num>
  <w:num w:numId="7">
    <w:abstractNumId w:val="3"/>
  </w:num>
  <w:num w:numId="22">
    <w:abstractNumId w:val="13"/>
  </w:num>
</w:numbering>
</file>

<file path=word/settings.xml><?xml version="1.0" encoding="utf-8"?>
<w:settings xmlns:w="http://schemas.openxmlformats.org/wordprocessingml/2006/main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Subtitle" w:uiPriority="11" w:semiHidden="0" w:unhideWhenUsed="0" w:qFormat="1"/>
    <w:lsdException w:name="Normal" w:uiPriority="0" w:semiHidden="0" w:unhideWhenUsed="0" w:qFormat="1"/>
    <w:lsdException w:name="Table Grid" w:uiPriority="59" w:semiHidden="0" w:unhideWhenUsed="0"/>
    <w:lsdException w:name="heading 3" w:uiPriority="9" w:qFormat="1"/>
    <w:lsdException w:name="Title" w:uiPriority="10" w:semiHidden="0" w:unhideWhenUsed="0" w:qFormat="1"/>
    <w:lsdException w:name="heading 2" w:uiPriority="9" w:qFormat="1"/>
    <w:lsdException w:name="Emphasis" w:uiPriority="20" w:semiHidden="0" w:unhideWhenUsed="0" w:qFormat="1"/>
    <w:lsdException w:name="heading 1" w:uiPriority="9" w:semiHidden="0" w:unhideWhenUsed="0" w:qFormat="1"/>
    <w:lsdException w:name="heading 4" w:uiPriority="9" w:qFormat="1"/>
    <w:lsdException w:name="Default Paragraph Font" w:uiPriority="1"/>
  </w:latentStyles>
  <w:style w:type="paragraph" w:styleId="000006">
    <w:name w:val="heading 3"/>
    <w:basedOn w:val="000001"/>
    <w:next w:val="000001"/>
    <w:link w:val="000007"/>
    <w:uiPriority w:val="9"/>
    <w:unhideWhenUsed w:val="1"/>
    <w:qFormat w:val="1"/>
    <w:rsid w:val="00841CD9"/>
    <w:pPr>
      <w:keepNext w:val="1"/>
      <w:keepLines w:val="1"/>
      <w:spacing w:before="200"/>
      <w:outlineLvl w:val="2"/>
    </w:pPr>
    <w:rPr>
      <w:rFonts w:ascii="宋体" w:eastAsia="宋体"/>
      <w:b w:val="1"/>
      <w:bCs w:val="1"/>
      <w:color w:val="000000"/>
      <w:sz w:val="34"/>
    </w:rPr>
  </w:style>
  <w:style w:type="paragraph" w:styleId="000001" w:default="1">
    <w:name w:val="Normal"/>
    <w:qFormat w:val="1"/>
    <w:rsid w:val="004A3277"/>
  </w:style>
  <w:style w:type="character" w:styleId="00000a" w:default="1">
    <w:name w:val="Default Paragraph Font"/>
    <w:uiPriority w:val="1"/>
    <w:semiHidden w:val="1"/>
    <w:unhideWhenUsed w:val="1"/>
  </w:style>
  <w:style w:type="character" w:styleId="00000f" w:customStyle="1">
    <w:name w:val="Subtitle Char"/>
    <w:basedOn w:val="00000a"/>
    <w:link w:val="00000e"/>
    <w:uiPriority w:val="11"/>
    <w:rsid w:val="00841CD9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1" w:customStyle="1">
    <w:name w:val="Title Char"/>
    <w:basedOn w:val="00000a"/>
    <w:link w:val="000010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5" w:customStyle="1">
    <w:name w:val="Heading 2 Char"/>
    <w:basedOn w:val="00000a"/>
    <w:link w:val="000004"/>
    <w:uiPriority w:val="9"/>
    <w:rsid w:val="00841CD9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0b">
    <w:name w:val="header"/>
    <w:basedOn w:val="000001"/>
    <w:link w:val="00000c"/>
    <w:uiPriority w:val="99"/>
    <w:unhideWhenUsed w:val="1"/>
    <w:rsid w:val="00841CD9"/>
    <w:pPr>
      <w:tabs>
        <w:tab w:val="center" w:pos="4680"/>
        <w:tab w:val="right" w:pos="9360"/>
      </w:tabs>
    </w:pPr>
  </w:style>
  <w:style w:type="paragraph" w:styleId="00000e">
    <w:name w:val="Subtitle"/>
    <w:basedOn w:val="000001"/>
    <w:next w:val="000001"/>
    <w:link w:val="00000f"/>
    <w:uiPriority w:val="11"/>
    <w:qFormat w:val="1"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d">
    <w:name w:val="Normal Indent"/>
    <w:basedOn w:val="000001"/>
    <w:uiPriority w:val="99"/>
    <w:unhideWhenUsed w:val="1"/>
    <w:rsid w:val="00841CD9"/>
    <w:pPr>
      <w:ind w:left="720"/>
    </w:pPr>
  </w:style>
  <w:style w:type="paragraph" w:styleId="000019"/>
  <w:style w:type="paragraph" w:styleId="000010">
    <w:name w:val="Title"/>
    <w:basedOn w:val="000001"/>
    <w:next w:val="000001"/>
    <w:link w:val="000011"/>
    <w:uiPriority w:val="10"/>
    <w:qFormat w:val="1"/>
    <w:rsid w:val="00841CD9"/>
    <w:pPr>
      <w:pBdr>
        <w:bottom w:val="single" w:color="4F81BD" w:themeColor="accent1" w:sz="8" w:space="4"/>
      </w:pBdr>
      <w:spacing w:after="300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6">
    <w:name w:val="caption"/>
    <w:basedOn w:val="000001"/>
    <w:next w:val="000001"/>
    <w:uiPriority w:val="35"/>
    <w:semiHidden w:val="1"/>
    <w:unhideWhenUsed w:val="1"/>
    <w:qFormat w:val="1"/>
    <w:rsid w:val="007109C0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c" w:customStyle="1">
    <w:name w:val="Header Char"/>
    <w:basedOn w:val="00000a"/>
    <w:link w:val="00000b"/>
    <w:uiPriority w:val="99"/>
    <w:rsid w:val="00841CD9"/>
  </w:style>
  <w:style w:type="character" w:styleId="000012">
    <w:name w:val="Emphasis"/>
    <w:basedOn w:val="00000a"/>
    <w:uiPriority w:val="20"/>
    <w:qFormat w:val="1"/>
    <w:rsid w:val="00D1197D"/>
    <w:rPr>
      <w:i w:val="1"/>
      <w:iCs w:val="1"/>
    </w:rPr>
  </w:style>
  <w:style w:type="character" w:styleId="000007" w:customStyle="1">
    <w:name w:val="Heading 3 Char"/>
    <w:basedOn w:val="00000a"/>
    <w:link w:val="000006"/>
    <w:uiPriority w:val="9"/>
    <w:rsid w:val="00841CD9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04">
    <w:name w:val="heading 2"/>
    <w:basedOn w:val="000001"/>
    <w:next w:val="000001"/>
    <w:link w:val="000005"/>
    <w:uiPriority w:val="9"/>
    <w:unhideWhenUsed w:val="1"/>
    <w:qFormat w:val="1"/>
    <w:rsid w:val="00841CD9"/>
    <w:pPr>
      <w:keepNext w:val="1"/>
      <w:keepLines w:val="1"/>
      <w:spacing w:before="200"/>
      <w:outlineLvl w:val="1"/>
    </w:pPr>
    <w:rPr>
      <w:rFonts w:ascii="宋体" w:eastAsia="宋体"/>
      <w:b w:val="1"/>
      <w:bCs w:val="1"/>
      <w:color w:val="000000"/>
      <w:sz w:val="38"/>
      <w:szCs w:val="26"/>
    </w:rPr>
  </w:style>
  <w:style w:type="character" w:styleId="000003" w:customStyle="1">
    <w:name w:val="Heading 1 Char"/>
    <w:basedOn w:val="00000a"/>
    <w:link w:val="000002"/>
    <w:uiPriority w:val="9"/>
    <w:rsid w:val="00841CD9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14">
    <w:name w:val="Table Grid"/>
    <w:basedOn w:val="0000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4"/>
    <w:basedOn w:val="000001"/>
    <w:next w:val="000001"/>
    <w:link w:val="000009"/>
    <w:uiPriority w:val="9"/>
    <w:unhideWhenUsed w:val="1"/>
    <w:qFormat w:val="1"/>
    <w:rsid w:val="00841CD9"/>
    <w:pPr>
      <w:keepNext w:val="1"/>
      <w:keepLines w:val="1"/>
      <w:spacing w:before="200"/>
      <w:outlineLvl w:val="3"/>
    </w:pPr>
    <w:rPr>
      <w:rFonts w:ascii="宋体" w:eastAsia="宋体"/>
      <w:b w:val="1"/>
      <w:bCs w:val="1"/>
      <w:color w:val="000000"/>
      <w:sz w:val="30"/>
    </w:rPr>
  </w:style>
  <w:style w:type="paragraph" w:styleId="000017">
    <w:name w:val="heading 5"/>
    <w:basedOn w:val="000001"/>
    <w:next w:val="000001"/>
    <w:link w:val="000018"/>
    <w:uiPriority w:val="9"/>
    <w:unhideWhenUsed w:val="1"/>
    <w:qFormat w:val="1"/>
    <w:rsid w:val="00841CD9"/>
    <w:pPr>
      <w:keepNext w:val="1"/>
      <w:keepLines w:val="1"/>
      <w:spacing w:before="200"/>
      <w:outlineLvl w:val="4"/>
    </w:pPr>
    <w:rPr>
      <w:rFonts w:ascii="宋体" w:eastAsia="宋体"/>
      <w:b w:val="1"/>
      <w:bCs w:val="1"/>
      <w:color w:val="000000"/>
      <w:sz w:val="28"/>
    </w:rPr>
  </w:style>
  <w:style w:type="table" w:styleId="000015" w:default="1">
    <w:name w:val="Normal Table"/>
    <w:uiPriority w:val="99"/>
    <w:semiHidden w:val="1"/>
    <w:unhideWhenUsed w:val="1"/>
    <w:qFormat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>
    <w:name w:val="Hyperlink"/>
    <w:basedOn w:val="00000a"/>
    <w:uiPriority w:val="99"/>
    <w:unhideWhenUsed w:val="1"/>
    <w:rPr>
      <w:color w:val="0000FF" w:themeColor="hyperlink"/>
      <w:u w:val="single"/>
    </w:rPr>
  </w:style>
  <w:style w:type="character" w:styleId="000009" w:customStyle="1">
    <w:name w:val="Heading 4 Char"/>
    <w:basedOn w:val="00000a"/>
    <w:link w:val="000008"/>
    <w:uiPriority w:val="9"/>
    <w:rsid w:val="00841CD9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2">
    <w:name w:val="heading 1"/>
    <w:basedOn w:val="000001"/>
    <w:next w:val="000001"/>
    <w:link w:val="000003"/>
    <w:uiPriority w:val="9"/>
    <w:qFormat w:val="1"/>
    <w:rsid w:val="00841CD9"/>
    <w:pPr>
      <w:keepNext w:val="1"/>
      <w:keepLines w:val="1"/>
      <w:spacing w:before="480"/>
      <w:outlineLvl w:val="0"/>
    </w:pPr>
    <w:rPr>
      <w:rFonts w:ascii="宋体" w:eastAsia="宋体"/>
      <w:b w:val="1"/>
      <w:bCs w:val="1"/>
      <w:color w:val="000000"/>
      <w:sz w:val="42"/>
      <w:szCs w:val="2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5" Type="http://schemas.openxmlformats.org/officeDocument/2006/relationships/image" Target="media/image22.png" /><Relationship Id="rId24" Type="http://schemas.openxmlformats.org/officeDocument/2006/relationships/image" Target="media/image21.png" /><Relationship Id="rId23" Type="http://schemas.openxmlformats.org/officeDocument/2006/relationships/image" Target="media/image20.png" /><Relationship Id="rId12" Type="http://schemas.openxmlformats.org/officeDocument/2006/relationships/image" Target="media/image9.png" /><Relationship Id="rId11" Type="http://schemas.openxmlformats.org/officeDocument/2006/relationships/image" Target="media/image8.png" /><Relationship Id="rId13" Type="http://schemas.openxmlformats.org/officeDocument/2006/relationships/image" Target="media/image10.png" /><Relationship Id="rId20" Type="http://schemas.openxmlformats.org/officeDocument/2006/relationships/image" Target="media/image17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4" Type="http://schemas.openxmlformats.org/officeDocument/2006/relationships/image" Target="media/image11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22" Type="http://schemas.openxmlformats.org/officeDocument/2006/relationships/image" Target="media/image19.png" /><Relationship Id="rId19" Type="http://schemas.openxmlformats.org/officeDocument/2006/relationships/image" Target="media/image16.png" /><Relationship Id="rId2" Type="http://schemas.openxmlformats.org/officeDocument/2006/relationships/fontTable" Target="fontTable.xml" /><Relationship Id="rId10" Type="http://schemas.openxmlformats.org/officeDocument/2006/relationships/image" Target="media/image7.png" /><Relationship Id="rId21" Type="http://schemas.openxmlformats.org/officeDocument/2006/relationships/image" Target="media/image1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2026-07-25T16:48:24Z</dcterms:created>
  <dcterms:modified xsi:type="dcterms:W3CDTF">2026-07-25T16:48:24Z</dcterms:modified>
</cp:coreProperties>
</file>