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240"/>
      </w:pPr>
      <w:r>
        <w:t>基于物联网与机器学习的高校教室能源智能管理系统设计与实现：以奥克兰大学教学场景为背景的初步研究</w:t>
      </w:r>
    </w:p>
    <w:p>
      <w:pPr>
        <w:spacing w:after="180"/>
      </w:pPr>
      <w:r>
        <w:t>一、绪论</w:t>
      </w:r>
    </w:p>
    <w:p>
      <w:pPr>
        <w:spacing w:after="180"/>
      </w:pPr>
      <w:r>
        <w:t>随着高校建筑能耗持续增长，教室照明与空调系统已成为教学建筑能源消耗的重要组成部分。现有材料指出，高校范围内教室照明与空调通常占据较高比例的建筑能耗，传统依赖人工开关或固定时序的控制方式容易导致空置时段持续供能，从而造成明显浪费。在奥克兰大学场景下，课程提供材料或相关内部统计进一步提示了这一问题的现实性：Building 401在2024年的年总用电量为1,245,600 kWh，其中照明占32.7%，HVAC占48.2%，平均教室占用率为38.6%，且课后设备平均仍持续运行2.3小时。需要说明的是，上述数据目前在正文中尚未附上可公开核验的APA格式来源，因此更适合作为研究场景设定与需求分析的依据，后续仍需结合原始发布文件、统计口径、发布日期和发布单位进一步核实。这些现象总体上反映出高校教室可能存在较明显的“低占用—高能耗”矛盾。</w:t>
      </w:r>
    </w:p>
    <w:p>
      <w:pPr>
        <w:spacing w:after="180"/>
      </w:pPr>
      <w:r>
        <w:t>同时，本文提及的奥克兰大学2030年碳中和目标以及教学建筑能耗降低目标，若确实来自校内政策文本，也需要在正式论文中明确文件名称、发布日期与发布单位；在尚未完成核验前，本文将其谨慎表述为据课程材料或校内政策背景所设定的研究前提。基于这一背景，研究面向教室场景的物联网与机器学习能源智能管理系统，仍具有较明确的工程价值与现实意义。此外，根据《奥克兰大学 CS732/SOFTENG 732 课程毕业论文作业要求》（2026），若该文件确为本课程内部要求，则正式提交时也应补充其完整出处；在当前表述下，本文仅将其视为课程任务边界的说明。也就是说，本研究不仅关注系统设计与实现，还需要尽可能通过真实数据和对照实验验证系统有效性，因此本课题兼具学术研究与应用落地双重属性。</w:t>
      </w:r>
    </w:p>
    <w:p>
      <w:pPr>
        <w:spacing w:after="180"/>
      </w:pPr>
      <w:r>
        <w:t>二、相关技术与文献综述</w:t>
      </w:r>
    </w:p>
    <w:p>
      <w:pPr>
        <w:spacing w:after="180"/>
      </w:pPr>
      <w:r>
        <w:t>现有研究普遍认为，智能建筑能源管理正在从规则驱动和定时控制逐步转向基于多源感知与数据驱动预测的智能优化模式。已有综述性材料总结了2018年至2024年间20个IoT-AI能源管理原型，指出当前研究重点主要集中在占用率预测、智能控制以及多源数据融合三个方向，同时也暴露出隐私、互操作性和用户接受度等关键挑战。在占用率预测方面，已有研究显示，融合环境传感器与课表信息的注意力增强双向LSTM模型可显著优于传统LSTM和SVM模型，预测准确率达到92.3%，并在部署中实现空调能耗降低28.7%、照明能耗降低32.1%、总能耗降低29.4%。进一步地，另一项材料指出，采用自适应门控的Transformer-CNN混合结构可达到94.7%的预测准确率，较Att-BiLSTM提升2.4%，且推理速度较纯Transformer快32%。这说明，占用率预测模型正向更高精度与更高部署效率演进。</w:t>
      </w:r>
    </w:p>
    <w:p>
      <w:pPr>
        <w:spacing w:after="180"/>
      </w:pPr>
      <w:r>
        <w:t>在控制策略方面，相关研究表明，仅依赖静态模糊控制或简单阈值控制已难以满足教学场景下动态、时变的控制需求。已有证据显示，模糊强化学习混合控制策略在仿真中可比传统模糊控制额外节能18.3%，同时较纯强化学习带来22.7%更高的舒适度表现。与此同时，新西兰高校情境中的IoT能源管理成本收益研究也显示，这类系统平均可实现22.5%的能耗下降和24.3%的碳减排，平均投资回收期约为3.2年，表明智能控制系统具有较好的经济可行性。因此，从文献综述来看，将物联网感知、占用率预测与自适应控制结合，已经成为高校建筑能源管理的重要发展方向。</w:t>
      </w:r>
    </w:p>
    <w:p>
      <w:pPr>
        <w:spacing w:after="180"/>
      </w:pPr>
      <w:r>
        <w:t>三、研究缺口与本文研究目标</w:t>
      </w:r>
    </w:p>
    <w:p>
      <w:pPr>
        <w:spacing w:after="180"/>
      </w:pPr>
      <w:r>
        <w:t>尽管现有研究已取得较多成果，但仍存在若干不足。第一，不少系统建立在欧洲、美国或亚洲高校场景之上，其在新西兰气候条件、教学管理模式与合规要求下的适用性仍有待验证。第二，现有研究中针对奥克兰大学等本地高校的成本效益分析仍然不足，难以直接支持校园层面的部署决策。第三，部分既有系统过于依赖简单定时控制，尚未充分融合课程表、环境数据与用户偏好，导致节能与舒适之间的平衡能力有限。第四，隐私保护与安全合规问题日益突出。相关材料明确指出，在新西兰智能建筑应用中，应遵循数据最小化、匿名化、本地存储、用户告知和退出机制等原则，且不应采用摄像头、人脸识别或原始MAC地址采集等侵入性方案。由此可见，面向奥克兰大学教室场景构建一个兼顾节能效果、舒适性、合规性与可扩展性的智能能源管理系统，具有明显研究空间。</w:t>
      </w:r>
    </w:p>
    <w:p>
      <w:pPr>
        <w:spacing w:after="180"/>
      </w:pPr>
      <w:r>
        <w:t>基于上述背景，本文拟设计并实现一个基于物联网与机器学习的高校教室能源智能管理系统。系统将围绕“感知—预测—决策—控制—评估”完整链路展开：首先通过PIR、CO₂、温湿度与光照等传感器采集教室环境和使用状态数据；其次结合课程表信息构建教室占用率预测模型；再次依据预测结果与实时环境数据，设计自适应能源控制算法，对照明和HVAC进行联动调节；最后从技术、经济与环境三个维度验证系统效果。按照课程要求，本文还将覆盖系统需求分析、总体架构、模型与算法设计、系统实现、测试分析以及成本效益评估等完整内容。</w:t>
      </w:r>
    </w:p>
    <w:p>
      <w:pPr>
        <w:spacing w:after="180"/>
      </w:pPr>
      <w:r>
        <w:t>四、系统需求分析与总体设计</w:t>
      </w:r>
    </w:p>
    <w:p>
      <w:pPr>
        <w:spacing w:after="180"/>
      </w:pPr>
      <w:r>
        <w:t>从需求层面看，该系统至少应满足四类核心功能。其一是数据采集与传输功能，即持续获取教室占用状态、环境参数和能耗数据，并通过MQTT实现稳定通信。其二是预测分析功能，即基于历史序列与实时输入完成短时占用率预测，为后续控制提供先验信息。其三是控制执行功能，即根据预测结果、实时传感器数据与用户偏好，对照明亮度、空调运行状态和温控策略进行自动调整。其四是可视化与管理功能，即为管理人员提供能耗监测、告警、策略配置与运行回溯界面。从非功能需求看，系统应兼顾实时性、扩展性、安全性和低侵入性。已有研究建议，在标准60人教室中采用2个PIR传感器、1个温湿度传感器、1个CO₂传感器和1个光照传感器的配置，并将安装高度控制在2.5至3.0米、采样频率设为1分钟，以在成本和数据质量之间取得较优平衡。本文可据此作为感知层部署的初步依据。</w:t>
      </w:r>
    </w:p>
    <w:p>
      <w:pPr>
        <w:spacing w:after="180"/>
      </w:pPr>
      <w:r>
        <w:t>在总体架构上，本文拟采用边缘—云端协同模式，而非完全集中式云架构。相关研究表明，边缘AI分布式能源管理架构可将响应时间缩短至47ms，相较传统云端集中式架构中高于300ms的时延具有明显优势，同时还可降低82.3%的带宽消耗和76.5%的服务器计算负载。对于教室照明与空调控制而言，较低时延有助于提升控制及时性并减少网络抖动带来的误动作。此外，边缘侧处理还有助于提升隐私保护水平，因为原始数据可在本地完成初步分析与匿名化，不必全部上传。基于此，系统总体上可划分为感知层、边缘分析层、平台服务层和应用层；若进一步结合数字孪生思路，还可在未来扩展为“数据层—模型层—服务层—应用层”的校园能源管理框架，从而增强系统的可扩展性和后续维护能力。</w:t>
      </w:r>
    </w:p>
    <w:p>
      <w:pPr>
        <w:spacing w:after="180"/>
      </w:pPr>
      <w:r>
        <w:t>五、预测模型与能源控制算法设计</w:t>
      </w:r>
    </w:p>
    <w:p>
      <w:pPr>
        <w:spacing w:after="180"/>
      </w:pPr>
      <w:r>
        <w:t>在占用率预测模型方面，课程要求明确指出需要构建基于LSTM或其改进模型的教室占用率预测方法。因此，本文可先以LSTM作为基础模型，输入变量包括温湿度、CO₂浓度、照度、历史占用状态以及课程表信息。已有研究表明，融合课程表与环境传感器数据能够显著提升模型性能，说明教学场景中的“计划使用模式”对占用率预测具有重要解释力。在初步研究阶段，本文拟将传统LSTM作为基线，同时参考Att-BiLSTM和Transformer-CNN混合模型作为改进方向。相关材料显示，Att-BiLSTM已能实现92.3%的准确率，而Transformer-CNN混合模型则进一步达到94.7%的准确率，并具备更高推理效率。另有材料指出，TimesNet-Lite在参数量仅为LSTM五分之一的情况下可实现相近精度，且推理速度提升三倍。这些结果表明，面向边缘部署的轻量化模型将是未来值得重点比较的方向。基于课程要求与材料约束，本文第一稿中将以“LSTM基线 + 改进模型对比”的方式展开论述。</w:t>
      </w:r>
    </w:p>
    <w:p>
      <w:pPr>
        <w:spacing w:after="180"/>
      </w:pPr>
      <w:r>
        <w:t>在能源控制算法方面，若仅依据实时传感器阈值进行控制，系统通常难以充分利用预测信息，也难以应对教室使用模式变化。因此，本文考虑采用“预测驱动 + 模糊控制”的基本框架，并进一步讨论引入强化学习模块的可行性。已有研究证明，预测驱动的模糊控制能够在实际部署中显著降低空调和照明能耗，同时维持较高的用户满意度；而模糊强化学习混合控制又能在仿真层面进一步提升节能与舒适表现。此外，参考多目标优化研究，未来还可将节能率、室内热舒适度与设备启停频率同时纳入目标函数，以获得更合理的Pareto解。本文认为，在高校教室场景下，控制目标不应仅限于节能最大化，而应追求“节能—舒适—可执行性”之间的动态平衡，这也是系统能否长期被接受并稳定运行的关键。</w:t>
      </w:r>
    </w:p>
    <w:p>
      <w:pPr>
        <w:spacing w:after="180"/>
      </w:pPr>
      <w:r>
        <w:t>六、系统实现与合规设计</w:t>
      </w:r>
    </w:p>
    <w:p>
      <w:pPr>
        <w:spacing w:after="180"/>
      </w:pPr>
      <w:r>
        <w:t>按照课程作业要求，系统实现需覆盖完整前后端架构，前端采用React 19，后端采用Spring Boot，并通过MQTT实现设备通信。在此基础上，本文拟将系统分为数据接入模块、预测服务模块、控制决策模块、设备管理模块和可视化展示模块。数据接入模块负责汇聚传感器和教务时序数据；预测服务模块负责训练与调用占用率模型；控制决策模块将预测结果转化为控制策略；设备管理模块面向照明与HVAC终端；可视化模块则为能源管理人员提供运行监控与策略调整入口。该实现路径与研究计划中提出的技术路线保持一致，具有较强可操作性。</w:t>
      </w:r>
    </w:p>
    <w:p>
      <w:pPr>
        <w:spacing w:after="180"/>
      </w:pPr>
      <w:r>
        <w:t>同时，系统设计必须满足新西兰隐私与安全要求。相关材料明确指出，智能建筑系统应遵循数据最小化、匿名化、本地存储、用户告知与退出机制等原则，并避免使用摄像头、人脸识别和WiFi嗅探等高敏感度检测方式。因此，本文系统将优先采用PIR与CO₂等非侵入式传感器进行占用感知，并尽量避免收集可识别个人身份的数据。在网络与平台安全方面，应参考新西兰智能建筑网络安全指导，重点加强数据传输加密、访问控制与边缘节点安全管理。此外，若从能源管理体系建设角度审视，ISO 50001所强调的能源方针、规划、实施、运行、检查、纠正和管理评审，也为本文系统提供了较为合适的管理框架。换言之，本文不仅关注算法与系统实现，也尝试将其纳入规范化的能源管理闭环之中。</w:t>
      </w:r>
    </w:p>
    <w:p>
      <w:pPr>
        <w:spacing w:after="180"/>
      </w:pPr>
      <w:r>
        <w:t>七、测试设计与结果分析框架</w:t>
      </w:r>
    </w:p>
    <w:p>
      <w:pPr>
        <w:spacing w:after="180"/>
      </w:pPr>
      <w:r>
        <w:t>根据课程要求，本文必须基于至少3个月真实数据开展模型训练和系统测试，并设置对照组验证系统效果。因此，在测试设计上，本文可设置“人工/定时控制”与“智能预测控制”两组方案进行比较。评价指标方面，预测模型部分可采用准确率、推理时延和模型资源占用等指标；控制效果部分可采用照明节能率、HVAC节能率、总能耗下降比例和舒适度指标；系统层面则可增加页面响应时间、消息传输延时与控制执行成功率等性能指标。进一步地，结果讨论还应与新西兰教学建筑能效基准进行对照。已有材料指出，新西兰高等教育教学建筑平均能耗强度为192 kWh/m²/year，优秀水平低于150 kWh/m²/year，而Building 401当前基线约为187 kWh/m²/year。这意味着奥克兰大学现有水平接近平均值但尚未达到优秀等级，因此智能系统若能显著降低照明与空调能耗，理论上有机会推动建筑表现接近更优基准。</w:t>
      </w:r>
    </w:p>
    <w:p>
      <w:pPr>
        <w:spacing w:after="180"/>
      </w:pPr>
      <w:r>
        <w:t>除技术指标外，用户接受度也是系统评估的重要部分。已有奥克兰大学相关调查显示，隐私保护与用户控制权是影响智能建筑技术接受度的最关键因素，且83%的受访者支持PIR和CO₂等非侵入式传感器方案。另有研究报告智能控制部署后温度与照明控制满意度达到91%。这些结果提示本文在评估阶段应引入基本的用户体验或接受度调查，至少验证系统是否在节能之外保持了可接受的舒适度与管理透明度。否则，单纯追求节能效果可能削弱系统的实际推广价值。</w:t>
      </w:r>
    </w:p>
    <w:p>
      <w:pPr>
        <w:spacing w:after="180"/>
      </w:pPr>
      <w:r>
        <w:t>八、成本效益与环境效益初步分析</w:t>
      </w:r>
    </w:p>
    <w:p>
      <w:pPr>
        <w:spacing w:after="180"/>
      </w:pPr>
      <w:r>
        <w:t>从经济可行性看，现有新西兰案例为本文提供了较好的比较基准。AUT的IoT能源管理案例在12个月内部署后实现19.2%的节能，投资回收期为2.9年，年电费节约超过NZD 45,000。另一项针对新西兰高等教育机构的研究给出了平均3.2年的回收期与28.7%的内部收益率，说明此类系统通常具有较强的投资吸引力。就本研究对象而言，Building 401在2024年的能源成本已达到NZD 211,752，若未来系统能达到文献中机器学习预测控制22%至30%的平均节能水平，则其潜在直接经济收益具有较高想象空间。与此同时，坎特伯雷大学案例还显示，智能能源管理项目能够显著降低碳排放，并在约3.1年内回收投资，这为本文的环境效益评估提供了本地参照。</w:t>
      </w:r>
    </w:p>
    <w:p>
      <w:pPr>
        <w:spacing w:after="180"/>
      </w:pPr>
      <w:r>
        <w:t>从环境效益看，教室照明与HVAC在教学建筑中的占比较高，因此对这两类负荷实施精细化控制具有较强减排潜力。若本文系统能够减少空置时段照明和空调的无效运行，不仅可降低电力消耗，还可支持学校2030碳中和目标的推进。需要指出的是，课程要求中还强调应进行成本效益分析与环境效益评估，因此本文在后续完整论文中还应进一步纳入电价、碳价、系统维护成本、设备更新成本以及系统寿命期等参数，采用净现值、投资回收期和内部收益率等指标构建更加完整的分析框架。</w:t>
      </w:r>
    </w:p>
    <w:p>
      <w:pPr>
        <w:spacing w:after="180"/>
      </w:pPr>
      <w:r>
        <w:t>九、结论与展望</w:t>
      </w:r>
    </w:p>
    <w:p>
      <w:pPr>
        <w:spacing w:after="180"/>
      </w:pPr>
      <w:r>
        <w:t>综上所述，基于物联网与机器学习的高校教室能源智能管理系统能够有效回应当前高校教学空间中普遍存在的低占用、高能耗和低自动化水平问题。结合奥克兰大学Building 401的本地能耗基线、课程作业的系统开发要求以及现有研究在预测模型、控制策略、边缘架构、隐私合规和成本收益方面的证据，本文初步提出了一个具有现实可行性的研究方案。其核心思路在于：以非侵入式传感器和课程表数据为基础，利用LSTM或其改进模型进行占用率预测，并在此基础上设计预测驱动的自适应控制策略，同时通过边缘—云协同架构提升实时性与隐私保护水平。</w:t>
      </w:r>
    </w:p>
    <w:p>
      <w:pPr>
        <w:spacing w:after="180"/>
      </w:pPr>
      <w:r>
        <w:t>不过，作为第一稿，本文仍存在一些明显不足。首先，当前文本更多是基于既有材料建立研究框架，尚未给出真实实验数据与量化结果。其次，对于模型训练细节、系统类图与时序图、功能测试流程以及敏捷迭代实施记录，仍需在后续版本中补充。再次，虽然本文已讨论数字孪生、多目标优化与强化学习增强控制等方向，但这些内容在本阶段仍主要体现为扩展设想。后续研究可进一步结合数字孪生框架开展教室级可视化管理，采用轻量化模型提升边缘部署效率，并在符合新西兰隐私与安全规范的前提下完成更长周期、更大范围的本地实证验证。</w:t>
      </w:r>
    </w:p>
    <w:p>
      <w:pPr>
        <w:spacing w:before="260" w:after="160"/>
      </w:pPr>
      <w:r>
        <w:t>参考文献</w:t>
      </w:r>
    </w:p>
    <w:p>
      <w:pPr>
        <w:spacing w:after="120"/>
      </w:pPr>
      <w:r>
        <w:t>论文共写平台测试. (n.d.). md.</w:t>
      </w:r>
    </w:p>
    <w:p>
      <w:pPr>
        <w:spacing w:after="120"/>
      </w:pPr>
      <w:r>
        <w:t>核心写作依据材料（2 份）+ 最新核心参考文献（5 篇）. (n.d.). md.</w:t>
      </w:r>
    </w:p>
    <w:p>
      <w:pPr>
        <w:spacing w:after="120"/>
      </w:pPr>
      <w:r>
        <w:t>奥克兰大学 CS732/SOFTENG 732 课程毕业论文作业要求. (2026). md.</w:t>
      </w:r>
    </w:p>
    <w:p>
      <w:pPr>
        <w:spacing w:after="120"/>
      </w:pPr>
      <w:r>
        <w:t>references. (n.d.). md.</w:t>
      </w:r>
    </w:p>
    <w:p>
      <w:pPr>
        <w:spacing w:after="120"/>
      </w:pPr>
      <w:r>
        <w:t>references. (n.d.). md.</w:t>
      </w:r>
    </w:p>
    <w:p>
      <w:pPr>
        <w:spacing w:after="120"/>
      </w:pPr>
      <w:r>
        <w:t>M. Smith, A. Johnson, K. Lee, S. Williams, R. Davis. (n.d.). 材料补充. md.</w:t>
      </w:r>
    </w:p>
    <w:p>
      <w:pPr>
        <w:spacing w:after="120"/>
      </w:pPr>
      <w:r>
        <w:t>核心参考资料. (n.d.). md.</w:t>
      </w:r>
    </w:p>
    <w:p>
      <w:pPr>
        <w:spacing w:after="120"/>
      </w:pPr>
      <w:r>
        <w:t>论文共写平台测试. (n.d.). md.</w:t>
      </w:r>
    </w:p>
    <w:p>
      <w:pPr>
        <w:spacing w:after="120"/>
      </w:pPr>
      <w:r>
        <w:t>核心参考资料. (n.d.). md.</w:t>
      </w:r>
    </w:p>
    <w:p>
      <w:pPr>
        <w:spacing w:after="120"/>
      </w:pPr>
      <w:r>
        <w:t>核心写作依据材料（2 份）+ 最新核心参考文献（5 篇）. (n.d.). md.</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2026-06-20T09:10:47Z</dcterms:created>
  <dc:creator>Apache POI</dc:creator>
</cp:coreProperties>
</file>