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70.png" ContentType="image/png"/>
  <Override PartName="/word/media/rId71.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摘要"/>
      <w:r>
        <w:t xml:space="preserve">摘要</w:t>
      </w:r>
      <w:bookmarkEnd w:id="20"/>
    </w:p>
    <w:p>
      <w:pPr>
        <w:pStyle w:val="FirstParagraph"/>
      </w:pPr>
      <w:r>
        <w:t xml:space="preserve">我们通过案例研究分析一个企业的员工离职情况，并从中找出员工离职问题的原因，通过建立多种算法模型，预测每个</w:t>
      </w:r>
      <w:r>
        <w:rPr>
          <w:b/>
        </w:rPr>
        <w:t xml:space="preserve">员工离职的概率</w:t>
      </w:r>
      <w:r>
        <w:t xml:space="preserve">，并进行模型效果的比较。同时，预测模型并不局限于该企业，而具有很强的普适性，可以为其它企业乃至社会研究提供商业服务支持、政策制定支撑。</w:t>
      </w:r>
    </w:p>
    <w:p>
      <w:pPr>
        <w:pStyle w:val="BodyText"/>
      </w:pPr>
      <w:r>
        <w:t xml:space="preserve">首先，我们建立简单的 Logit 回归以初步解释各个变量的效应。在使用混淆矩阵得出</w:t>
      </w:r>
      <w:r>
        <w:rPr>
          <w:b/>
        </w:rPr>
        <w:t xml:space="preserve">灵敏度</w:t>
      </w:r>
      <w:r>
        <w:t xml:space="preserve">和</w:t>
      </w:r>
      <w:r>
        <w:rPr>
          <w:b/>
        </w:rPr>
        <w:t xml:space="preserve">特异度</w:t>
      </w:r>
      <w:r>
        <w:t xml:space="preserve">之后，我们使用</w:t>
      </w:r>
      <w:r>
        <w:t xml:space="preserve"> </w:t>
      </w:r>
      <w:r>
        <w:rPr>
          <w:b/>
        </w:rPr>
        <w:t xml:space="preserve">ROC 曲线</w:t>
      </w:r>
      <w:r>
        <w:t xml:space="preserve">结合业务情形在两者之间进行权衡。</w:t>
      </w:r>
    </w:p>
    <w:p>
      <w:pPr>
        <w:pStyle w:val="BodyText"/>
      </w:pPr>
      <w:r>
        <w:t xml:space="preserve">在使用相同的重抽样方法进行重复 5 次的 10 折</w:t>
      </w:r>
      <w:r>
        <w:rPr>
          <w:b/>
        </w:rPr>
        <w:t xml:space="preserve">交叉验证</w:t>
      </w:r>
      <w:r>
        <w:t xml:space="preserve">的前提下，我们将准确率和 Kappa 作为衡量指标，比较了</w:t>
      </w:r>
      <w:r>
        <w:t xml:space="preserve"> </w:t>
      </w:r>
      <w:r>
        <w:rPr>
          <w:b/>
        </w:rPr>
        <w:t xml:space="preserve">Logit、线性判别、偏最小二乘判别、支持向量机、随机梯度助推模型</w:t>
      </w:r>
      <w:r>
        <w:t xml:space="preserve">的优劣。</w:t>
      </w:r>
    </w:p>
    <w:p>
      <w:pPr>
        <w:pStyle w:val="BodyText"/>
      </w:pPr>
      <w:r>
        <w:t xml:space="preserve">综合来看，</w:t>
      </w:r>
      <w:r>
        <w:rPr>
          <w:b/>
        </w:rPr>
        <w:t xml:space="preserve">PLSDA</w:t>
      </w:r>
      <w:r>
        <w:t xml:space="preserve">模型在两项评判指标下都具有最好的效果。然而，在模型的应用方面，由于 Logit 模型计算速度较快、可解释性强的，在对准确率要求不高而更加重视变量的可解释性的场景下，Logit 模型也不失为一个较好的选择。</w:t>
      </w:r>
    </w:p>
    <w:p>
      <w:pPr>
        <w:pStyle w:val="BodyText"/>
      </w:pPr>
      <w:r>
        <w:t xml:space="preserve">在变量选择上，最重要的变量</w:t>
      </w:r>
      <w:r>
        <w:rPr>
          <w:b/>
        </w:rPr>
        <w:t xml:space="preserve">婚姻状况</w:t>
      </w:r>
      <w:r>
        <w:t xml:space="preserve">和</w:t>
      </w:r>
      <w:r>
        <w:rPr>
          <w:b/>
        </w:rPr>
        <w:t xml:space="preserve">绩效</w:t>
      </w:r>
      <w:r>
        <w:t xml:space="preserve">。这两个变量对于不同部门、不同工作内容、不同工作地位的员工具有较强的普适性，属于对员工个人的刻画，对于预测员工是否离职较为重要。重要程度最低是薪资、特殊完成项目的数量和是否在IT/IS部门，这三个变量与员工个人的性格、工作能力、家庭关系较小，属于对工作分类的刻画，对于预测员工是否离职的重要性较低。</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关键词：</w:t>
      </w:r>
      <w:r>
        <w:t xml:space="preserve"> </w:t>
      </w:r>
      <w:r>
        <w:rPr>
          <w:b/>
        </w:rPr>
        <w:t xml:space="preserve">员工离职</w:t>
      </w:r>
      <w:r>
        <w:t xml:space="preserve">，</w:t>
      </w:r>
      <w:r>
        <w:t xml:space="preserve"> </w:t>
      </w:r>
      <w:r>
        <w:rPr>
          <w:b/>
        </w:rPr>
        <w:t xml:space="preserve">分类预测模型</w:t>
      </w:r>
      <w:r>
        <w:t xml:space="preserve">，</w:t>
      </w:r>
      <w:r>
        <w:t xml:space="preserve"> </w:t>
      </w:r>
      <w:r>
        <w:rPr>
          <w:b/>
        </w:rPr>
        <w:t xml:space="preserve">机器学习</w:t>
      </w:r>
      <w:r>
        <w:t xml:space="preserve">，</w:t>
      </w:r>
      <w:r>
        <w:t xml:space="preserve"> </w:t>
      </w:r>
      <w:r>
        <w:rPr>
          <w:b/>
        </w:rPr>
        <w:t xml:space="preserve">变量选择</w:t>
      </w:r>
      <w:r>
        <w:t xml:space="preserve">，</w:t>
      </w:r>
      <w:r>
        <w:t xml:space="preserve"> </w:t>
      </w:r>
      <w:r>
        <w:rPr>
          <w:b/>
        </w:rPr>
        <w:t xml:space="preserve">模型比较</w:t>
      </w:r>
    </w:p>
    <w:p>
      <w:pPr>
        <w:pStyle w:val="Heading1"/>
      </w:pPr>
      <w:bookmarkStart w:id="21" w:name="背景"/>
      <w:r>
        <w:t xml:space="preserve">背景</w:t>
      </w:r>
      <w:bookmarkEnd w:id="21"/>
    </w:p>
    <w:p>
      <w:pPr>
        <w:pStyle w:val="FirstParagraph"/>
      </w:pPr>
      <w:r>
        <w:t xml:space="preserve">随着市场化和国际化的不断推行，行业的更迭越来越快，企业间的竞争变得越来越激烈，人力资源的流动也变得越来越快。可以说，人力资源的流动是一家公司、整个社会不可或缺也不可避免的一部分，一方面它使得人力资源的分配更高效；然而，另一方面，它也带来了一些摩擦性失业。</w:t>
      </w:r>
    </w:p>
    <w:p>
      <w:pPr>
        <w:pStyle w:val="Compact"/>
        <w:numPr>
          <w:numId w:val="1001"/>
          <w:ilvl w:val="0"/>
        </w:numPr>
      </w:pPr>
      <w:r>
        <w:t xml:space="preserve">从社会科学的角度，对人力资源流动的合理预判有利于调整就业市场，尽可能地减小摩擦性失业。</w:t>
      </w:r>
    </w:p>
    <w:p>
      <w:pPr>
        <w:pStyle w:val="Compact"/>
        <w:numPr>
          <w:numId w:val="1001"/>
          <w:ilvl w:val="0"/>
        </w:numPr>
      </w:pPr>
      <w:r>
        <w:t xml:space="preserve">从人才就业服务中心的角度，将合适的人放置于合适的企业、匹配的岗位是其工作的核心。</w:t>
      </w:r>
    </w:p>
    <w:p>
      <w:pPr>
        <w:pStyle w:val="Compact"/>
        <w:numPr>
          <w:numId w:val="1001"/>
          <w:ilvl w:val="0"/>
        </w:numPr>
      </w:pPr>
      <w:r>
        <w:t xml:space="preserve">从企业的角度，由于企业的核心技术和运营业务被优秀的人才掌握，公司希望尽量避免自己所器重的员工为了更好的就业机会而主动离职，避免公司竞争力降低的同时竞争对手掌握主动权；同时，对于非核心的员工，公司则希望能够预判员工的离职，以降低离职率，减轻员工离职对公司正常经营活动的影响，节省公司新招聘员工的成本。</w:t>
      </w:r>
    </w:p>
    <w:p>
      <w:pPr>
        <w:pStyle w:val="FirstParagraph"/>
      </w:pPr>
      <w:r>
        <w:t xml:space="preserve">大部分企业都会设立人事部专门管理人力资源问题，企业有着招聘员工需要付出一定的成本，而员工入职后的培训和磨合也需要不小的费用。能够胜任工作的优秀员工的离职对于企业来说是不小的损失。所以，人员的频繁离职是人力资源部极为重视的问题之一。</w:t>
      </w:r>
    </w:p>
    <w:p>
      <w:pPr>
        <w:pStyle w:val="BodyText"/>
      </w:pPr>
      <w:r>
        <w:t xml:space="preserve">引起员工离职的原因有很多，员工的薪资、满意度、工龄等等都是重要因素，通过描述性统计，我们能大致刻画出主动离职和被解雇员工的群体画像，得到一些结论。但是相较于得出群体结论，企业或是人才服务中心更加关注精确到每位员工上，从每位员工自身的角度，离职的原因又有很强的自身独特性，准确地预测出每位员工是否处于离职的边缘较难。</w:t>
      </w:r>
    </w:p>
    <w:p>
      <w:pPr>
        <w:pStyle w:val="Heading1"/>
      </w:pPr>
      <w:bookmarkStart w:id="22" w:name="文献综述"/>
      <w:r>
        <w:t xml:space="preserve">文献综述</w:t>
      </w:r>
      <w:bookmarkEnd w:id="22"/>
    </w:p>
    <w:p>
      <w:pPr>
        <w:pStyle w:val="FirstParagraph"/>
      </w:pPr>
      <w:r>
        <w:t xml:space="preserve">在企业人力资源流动上，不同学者对员工离职的不同方面进行了研究。</w:t>
      </w:r>
    </w:p>
    <w:p>
      <w:pPr>
        <w:pStyle w:val="BodyText"/>
      </w:pPr>
      <w:r>
        <w:t xml:space="preserve">国内学者张梓嫣和杨喆麟都使用案例分析的方法研究企业员工离职问题。张梓嫣用问卷调查的方法对 BJM 公司进行案例分析，深入剖析了 BJM 公司留才策略的详细计划和执行现状，同时对其他的影视公司乃至整个影视行业如何缓解新员工频繁离职具有很高的参考价值。</w:t>
      </w:r>
      <w:r>
        <w:t xml:space="preserve"> </w:t>
      </w:r>
      <w:r>
        <w:t xml:space="preserve">[1]</w:t>
      </w:r>
      <w:r>
        <w:t xml:space="preserve"> </w:t>
      </w:r>
      <w:r>
        <w:t xml:space="preserve">杨喆麟作为管理者和参与人力资源规划的研究人员以案例分析的形式，以星巴克公司驻中国部作为案例研究对象，研究招聘培训以及薪酬福利的特点、提高员工工作积极性的方法；并进一步对星巴克员工离职问题提出优化措施找到切实可行的优化策略，以降低离职率、提高企业竞争优势。</w:t>
      </w:r>
      <w:r>
        <w:t xml:space="preserve"> </w:t>
      </w:r>
      <w:r>
        <w:t xml:space="preserve">[2]</w:t>
      </w:r>
    </w:p>
    <w:p>
      <w:pPr>
        <w:pStyle w:val="BodyText"/>
      </w:pPr>
      <w:r>
        <w:t xml:space="preserve">在筛选重要变量，找出离职原因方面，学者赵西萍、刘玲和张长征在则问卷调查的基础上，采用因子分析法和多元相关分析法提取主要因子，以对员工工作态度进行测度，提取引起员工离职倾向的关键因素。</w:t>
      </w:r>
      <w:r>
        <w:t xml:space="preserve"> </w:t>
      </w:r>
      <w:r>
        <w:t xml:space="preserve">[3]</w:t>
      </w:r>
    </w:p>
    <w:p>
      <w:pPr>
        <w:pStyle w:val="BodyText"/>
      </w:pPr>
      <w:r>
        <w:t xml:space="preserve">在预测员工离职概率上，学者张紫君使用梯度提升分类树（GBDT）算法构建模型预测企业员工离职，采用 smote 算法对样本进行倾斜处理、采取网格搜索法模型的调优、使用混淆矩阵和 ROC 曲线进行评价模型、运用梯度提升分类树决定重要特征。</w:t>
      </w:r>
      <w:r>
        <w:t xml:space="preserve"> </w:t>
      </w:r>
      <w:r>
        <w:t xml:space="preserve">[4]</w:t>
      </w:r>
    </w:p>
    <w:p>
      <w:pPr>
        <w:pStyle w:val="Heading1"/>
      </w:pPr>
      <w:bookmarkStart w:id="23" w:name="研究方法"/>
      <w:r>
        <w:t xml:space="preserve">研究方法</w:t>
      </w:r>
      <w:bookmarkEnd w:id="23"/>
    </w:p>
    <w:p>
      <w:pPr>
        <w:pStyle w:val="FirstParagraph"/>
      </w:pPr>
      <w:r>
        <w:t xml:space="preserve">在我们的研究中，我们吸收了几位学者优秀的研究成果，并在他们的基础上继续加以研究创新。</w:t>
      </w:r>
    </w:p>
    <w:p>
      <w:pPr>
        <w:pStyle w:val="Compact"/>
        <w:numPr>
          <w:numId w:val="1002"/>
          <w:ilvl w:val="0"/>
        </w:numPr>
      </w:pPr>
      <w:r>
        <w:t xml:space="preserve">通过案例研究的方式，对数据进行分析和处理，建立模型对企业员工离职倾向进行预测，选用多种机器学习模型进行模型比较，为离职概率的预测提供更多的评判思路。但与此同时，研究并不局限于一个案例，而是具有普适性，在实际应用过程中能够有效地推广到不同企业，为商业服务和社会政策决策提供参考依据。</w:t>
      </w:r>
    </w:p>
    <w:p>
      <w:pPr>
        <w:pStyle w:val="Compact"/>
        <w:numPr>
          <w:numId w:val="1002"/>
          <w:ilvl w:val="0"/>
        </w:numPr>
      </w:pPr>
      <w:r>
        <w:t xml:space="preserve">我们应用机器学习算法探究导致离职的决定性因素，将重要的变量筛选出来，理清楚其影响关系，使用数据集中的这些变量预测有离职的倾向的员工。在数据中向更深的层次进行挖掘，通过探究内在的问题，提前采取措施，从而避免造成更多的损失。</w:t>
      </w:r>
    </w:p>
    <w:p>
      <w:pPr>
        <w:pStyle w:val="Compact"/>
        <w:numPr>
          <w:numId w:val="1002"/>
          <w:ilvl w:val="0"/>
        </w:numPr>
      </w:pPr>
      <w:r>
        <w:t xml:space="preserve">结合心理学中的需求层次理论、双因素理论、公平理论和职业生涯理论探究导致员工的离职的深层次原因。从员工个人家庭婚姻因素，到职业发展因素，再到工作内容和工作岗位，又结合员工的更深层次的感受：参与感、满足感、价值感，多方面地探究导致员工离职最重要的因素。</w:t>
      </w:r>
    </w:p>
    <w:p>
      <w:pPr>
        <w:pStyle w:val="Compact"/>
        <w:numPr>
          <w:numId w:val="1002"/>
          <w:ilvl w:val="0"/>
        </w:numPr>
      </w:pPr>
      <w:r>
        <w:t xml:space="preserve">在实际应用中，并不局限于此数据集，此研究为离职的预测提供思路，在应用时可以加以调整，使用更大维度的数据集，在分布计算环境下进行学习预测。</w:t>
      </w:r>
    </w:p>
    <w:p>
      <w:pPr>
        <w:pStyle w:val="Heading1"/>
      </w:pPr>
      <w:bookmarkStart w:id="24" w:name="数据集与描述分析"/>
      <w:r>
        <w:t xml:space="preserve">数据集与描述分析</w:t>
      </w:r>
      <w:bookmarkEnd w:id="24"/>
    </w:p>
    <w:p>
      <w:pPr>
        <w:pStyle w:val="Heading2"/>
      </w:pPr>
      <w:bookmarkStart w:id="25" w:name="数据集说明"/>
      <w:r>
        <w:t xml:space="preserve">数据集说明</w:t>
      </w:r>
      <w:bookmarkEnd w:id="25"/>
    </w:p>
    <w:p>
      <w:pPr>
        <w:pStyle w:val="FirstParagraph"/>
      </w:pPr>
      <w:r>
        <w:t xml:space="preserve">我们使用一个公开的数据集</w:t>
      </w:r>
      <w:r>
        <w:rPr>
          <w:rStyle w:val="FootnoteReference"/>
        </w:rPr>
        <w:footnoteReference w:id="26"/>
      </w:r>
      <w:r>
        <w:t xml:space="preserve"> </w:t>
      </w:r>
      <w:r>
        <w:t xml:space="preserve">，它有 35 个变量，310 个观测。</w:t>
      </w:r>
      <w:r>
        <w:rPr>
          <w:rStyle w:val="FootnoteReference"/>
        </w:rPr>
        <w:footnoteReference w:id="28"/>
      </w:r>
    </w:p>
    <w:p>
      <w:pPr>
        <w:pStyle w:val="BodyText"/>
      </w:pPr>
      <w:r>
        <w:t xml:space="preserve">Of the 12,330 sessions in the dataset, 84.5% (10,422) were negative class samples that did not end with shopping, and the rest (1908) were positive class samples ending with shopping.</w:t>
      </w:r>
    </w:p>
    <w:p>
      <w:pPr>
        <w:pStyle w:val="BodyText"/>
      </w:pPr>
      <w:r>
        <w:t xml:space="preserve">The dataset consists of feature vectors belonging to 12,330 sessions. The dataset was formed so that each session would belong to a different user in a 1-year period to avoid any tendency to a specific campaign, special day, user profile, or period.</w:t>
      </w:r>
    </w:p>
    <w:p>
      <w:pPr>
        <w:pStyle w:val="BodyText"/>
      </w:pPr>
      <w:r>
        <w:t xml:space="preserve">The dataset consists of 10 numerical and 8 categorical attributes.</w:t>
      </w:r>
      <w:r>
        <w:t xml:space="preserve"> </w:t>
      </w:r>
      <w:r>
        <w:t xml:space="preserve">The</w:t>
      </w:r>
      <w:r>
        <w:t xml:space="preserve"> </w:t>
      </w:r>
      <w:r>
        <w:t xml:space="preserve">‘</w:t>
      </w:r>
      <w:r>
        <w:t xml:space="preserve">Revenue</w:t>
      </w:r>
      <w:r>
        <w:t xml:space="preserve">’</w:t>
      </w:r>
      <w:r>
        <w:t xml:space="preserve"> </w:t>
      </w:r>
      <w:r>
        <w:t xml:space="preserve">attribute can be used as the class label.</w:t>
      </w:r>
    </w:p>
    <w:p>
      <w:pPr>
        <w:pStyle w:val="BodyText"/>
      </w:pPr>
      <w:r>
        <w:t xml:space="preserve">“</w:t>
      </w:r>
      <w:r>
        <w:t xml:space="preserve">Administrative</w:t>
      </w:r>
      <w:r>
        <w:t xml:space="preserve">”</w:t>
      </w:r>
      <w:r>
        <w:t xml:space="preserve">,</w:t>
      </w:r>
      <w:r>
        <w:t xml:space="preserve"> </w:t>
      </w:r>
      <w:r>
        <w:t xml:space="preserve">“</w:t>
      </w:r>
      <w:r>
        <w:t xml:space="preserve">Administrative Duration</w:t>
      </w:r>
      <w:r>
        <w:t xml:space="preserve">”</w:t>
      </w:r>
      <w:r>
        <w:t xml:space="preserve">,</w:t>
      </w:r>
      <w:r>
        <w:t xml:space="preserve"> </w:t>
      </w:r>
      <w:r>
        <w:t xml:space="preserve">“</w:t>
      </w:r>
      <w:r>
        <w:t xml:space="preserve">Informational</w:t>
      </w:r>
      <w:r>
        <w:t xml:space="preserve">”</w:t>
      </w:r>
      <w:r>
        <w:t xml:space="preserve">,</w:t>
      </w:r>
      <w:r>
        <w:t xml:space="preserve"> </w:t>
      </w:r>
      <w:r>
        <w:t xml:space="preserve">“</w:t>
      </w:r>
      <w:r>
        <w:t xml:space="preserve">Informational Duration</w:t>
      </w:r>
      <w:r>
        <w:t xml:space="preserve">”</w:t>
      </w:r>
      <w:r>
        <w:t xml:space="preserve">,</w:t>
      </w:r>
      <w:r>
        <w:t xml:space="preserve"> </w:t>
      </w:r>
      <w:r>
        <w:t xml:space="preserve">“</w:t>
      </w:r>
      <w:r>
        <w:t xml:space="preserve">Product Related</w:t>
      </w:r>
      <w:r>
        <w:t xml:space="preserve">”</w:t>
      </w:r>
      <w:r>
        <w:t xml:space="preserve"> </w:t>
      </w:r>
      <w:r>
        <w:t xml:space="preserve">and</w:t>
      </w:r>
      <w:r>
        <w:t xml:space="preserve"> </w:t>
      </w:r>
      <w:r>
        <w:t xml:space="preserve">“</w:t>
      </w:r>
      <w:r>
        <w:t xml:space="preserve">Product Related Duration</w:t>
      </w:r>
      <w:r>
        <w:t xml:space="preserve">”</w:t>
      </w:r>
      <w:r>
        <w:t xml:space="preserve"> </w:t>
      </w:r>
      <w:r>
        <w:t xml:space="preserve">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The</w:t>
      </w:r>
      <w:r>
        <w:t xml:space="preserve"> </w:t>
      </w:r>
      <w:r>
        <w:t xml:space="preserve">“</w:t>
      </w:r>
      <w:r>
        <w:t xml:space="preserve">Bounce Rate</w:t>
      </w:r>
      <w:r>
        <w:t xml:space="preserve">”</w:t>
      </w:r>
      <w:r>
        <w:t xml:space="preserve">,</w:t>
      </w:r>
      <w:r>
        <w:t xml:space="preserve"> </w:t>
      </w:r>
      <w:r>
        <w:t xml:space="preserve">“</w:t>
      </w:r>
      <w:r>
        <w:t xml:space="preserve">Exit Rate</w:t>
      </w:r>
      <w:r>
        <w:t xml:space="preserve">”</w:t>
      </w:r>
      <w:r>
        <w:t xml:space="preserve"> </w:t>
      </w:r>
      <w:r>
        <w:t xml:space="preserve">and</w:t>
      </w:r>
      <w:r>
        <w:t xml:space="preserve"> </w:t>
      </w:r>
      <w:r>
        <w:t xml:space="preserve">“</w:t>
      </w:r>
      <w:r>
        <w:t xml:space="preserve">Page Value</w:t>
      </w:r>
      <w:r>
        <w:t xml:space="preserve">”</w:t>
      </w:r>
      <w:r>
        <w:t xml:space="preserve"> </w:t>
      </w:r>
      <w:r>
        <w:t xml:space="preserve">features represent the metrics measured by</w:t>
      </w:r>
      <w:r>
        <w:t xml:space="preserve"> </w:t>
      </w:r>
      <w:r>
        <w:t xml:space="preserve">“</w:t>
      </w:r>
      <w:r>
        <w:t xml:space="preserve">Google Analytics</w:t>
      </w:r>
      <w:r>
        <w:t xml:space="preserve">”</w:t>
      </w:r>
      <w:r>
        <w:t xml:space="preserve"> </w:t>
      </w:r>
      <w:r>
        <w:t xml:space="preserve">for each page in the e-commerce site. The value of</w:t>
      </w:r>
      <w:r>
        <w:t xml:space="preserve"> </w:t>
      </w:r>
      <w:r>
        <w:t xml:space="preserve">“</w:t>
      </w:r>
      <w:r>
        <w:t xml:space="preserve">Bounce Rate</w:t>
      </w:r>
      <w:r>
        <w:t xml:space="preserve">”</w:t>
      </w:r>
      <w:r>
        <w:t xml:space="preserve"> </w:t>
      </w:r>
      <w:r>
        <w:t xml:space="preserve">feature for a web page refers to the percentage of visitors who enter the site from that page and then leave (</w:t>
      </w:r>
      <w:r>
        <w:t xml:space="preserve">“</w:t>
      </w:r>
      <w:r>
        <w:t xml:space="preserve">bounce</w:t>
      </w:r>
      <w:r>
        <w:t xml:space="preserve">”</w:t>
      </w:r>
      <w:r>
        <w:t xml:space="preserve">) without triggering any other requests to the analytics server during that session. The value of</w:t>
      </w:r>
      <w:r>
        <w:t xml:space="preserve"> </w:t>
      </w:r>
      <w:r>
        <w:t xml:space="preserve">“</w:t>
      </w:r>
      <w:r>
        <w:t xml:space="preserve">Exit Rate</w:t>
      </w:r>
      <w:r>
        <w:t xml:space="preserve">”</w:t>
      </w:r>
      <w:r>
        <w:t xml:space="preserve"> </w:t>
      </w:r>
      <w:r>
        <w:t xml:space="preserve">feature for a specific web page is calculated as for all pageviews to the page, the percentage that were the last in the session. The</w:t>
      </w:r>
      <w:r>
        <w:t xml:space="preserve"> </w:t>
      </w:r>
      <w:r>
        <w:t xml:space="preserve">“</w:t>
      </w:r>
      <w:r>
        <w:t xml:space="preserve">Page Value</w:t>
      </w:r>
      <w:r>
        <w:t xml:space="preserve">”</w:t>
      </w:r>
      <w:r>
        <w:t xml:space="preserve"> </w:t>
      </w:r>
      <w:r>
        <w:t xml:space="preserve">feature represents the average value for a web page that a user visited before completing an e-commerce transaction. The</w:t>
      </w:r>
      <w:r>
        <w:t xml:space="preserve"> </w:t>
      </w:r>
      <w:r>
        <w:t xml:space="preserve">“</w:t>
      </w:r>
      <w:r>
        <w:t xml:space="preserve">Special Day</w:t>
      </w:r>
      <w:r>
        <w:t xml:space="preserve">”</w:t>
      </w:r>
      <w:r>
        <w:t xml:space="preserve"> </w:t>
      </w:r>
      <w:r>
        <w:t xml:space="preserve">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p>
      <w:pPr>
        <w:pStyle w:val="Heading2"/>
      </w:pPr>
      <w:bookmarkStart w:id="29" w:name="数据预处理"/>
      <w:r>
        <w:t xml:space="preserve">数据预处理</w:t>
      </w:r>
      <w:bookmarkEnd w:id="29"/>
    </w:p>
    <w:p>
      <w:pPr>
        <w:pStyle w:val="Compact"/>
        <w:numPr>
          <w:numId w:val="1003"/>
          <w:ilvl w:val="0"/>
        </w:numPr>
      </w:pPr>
      <w:r>
        <w:t xml:space="preserve">为了保护员工的个人隐私，我们对数据进行了脱敏处理。</w:t>
      </w:r>
    </w:p>
    <w:p>
      <w:pPr>
        <w:pStyle w:val="Compact"/>
        <w:numPr>
          <w:numId w:val="1003"/>
          <w:ilvl w:val="0"/>
        </w:numPr>
      </w:pPr>
      <w:r>
        <w:t xml:space="preserve">建模前，我们对原始数据进行了相关预处理，包括将数据中的缺失值、重复值、异常值的处理，对每个变量的数据分别进行标准化。对分类变量，我们采用因子化编码的处理方法，选定一个因子水平作为基准水平，将其余的因子水平拆分为各个虚拟变量 (Dummy Variables) 。</w:t>
      </w:r>
    </w:p>
    <w:p>
      <w:pPr>
        <w:pStyle w:val="Compact"/>
        <w:numPr>
          <w:numId w:val="1003"/>
          <w:ilvl w:val="0"/>
        </w:numPr>
      </w:pPr>
      <w:r>
        <w:t xml:space="preserve">我们将</w:t>
      </w:r>
      <w:r>
        <w:rPr>
          <w:b/>
        </w:rPr>
        <w:t xml:space="preserve">主动辞职</w:t>
      </w:r>
      <w:r>
        <w:t xml:space="preserve">和</w:t>
      </w:r>
      <w:r>
        <w:rPr>
          <w:b/>
        </w:rPr>
        <w:t xml:space="preserve">被迫离职</w:t>
      </w:r>
      <w:r>
        <w:t xml:space="preserve">的标记为离职，与</w:t>
      </w:r>
      <w:r>
        <w:rPr>
          <w:b/>
        </w:rPr>
        <w:t xml:space="preserve">在职</w:t>
      </w:r>
      <w:r>
        <w:t xml:space="preserve">相对应，生成一个虚拟变量。</w:t>
      </w:r>
    </w:p>
    <w:p>
      <w:r>
        <w:br w:type="page"/>
      </w:r>
    </w:p>
    <w:p>
      <w:pPr>
        <w:pStyle w:val="Heading2"/>
      </w:pPr>
      <w:bookmarkStart w:id="30" w:name="描述分析"/>
      <w:r>
        <w:t xml:space="preserve">描述分析</w:t>
      </w:r>
      <w:bookmarkEnd w:id="30"/>
    </w:p>
    <w:p>
      <w:pPr>
        <w:pStyle w:val="Heading3"/>
      </w:pPr>
      <w:bookmarkStart w:id="31" w:name="工作日周末"/>
      <w:r>
        <w:t xml:space="preserve">工作日/周末</w:t>
      </w:r>
      <w:bookmarkEnd w:id="31"/>
    </w:p>
    <w:p>
      <w:pPr>
        <w:pStyle w:val="CaptionedFigure"/>
      </w:pPr>
      <w:r>
        <w:drawing>
          <wp:inline>
            <wp:extent cx="5334000" cy="4267200"/>
            <wp:effectExtent b="0" l="0" r="0" t="0"/>
            <wp:docPr descr="离职与在职两类员工日薪分布密度图（红色代表离职）" title=""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离职与在职两类员工日薪分布密度图（红色代表离职）</w:t>
      </w:r>
    </w:p>
    <w:p>
      <w:pPr>
        <w:pStyle w:val="BodyText"/>
      </w:pPr>
      <w:r>
        <w:t xml:space="preserve">离职的员工与在职的员工的有着相似的薪资分布情况，员工的时薪在 20 - 25 美元和 45 - 60 美元之间较为集中。但有所不同的是，离职的员工集中于 20 - 25 美元的比例更大，而集中于 45 - 60 美元的比例更小。这说明薪资过低的确是离职的一个较为重要的理由之一。</w:t>
      </w:r>
    </w:p>
    <w:p>
      <w:pPr>
        <w:pStyle w:val="Heading3"/>
      </w:pPr>
      <w:bookmarkStart w:id="33" w:name="页面价值周末"/>
      <w:r>
        <w:t xml:space="preserve">页面价值/周末</w:t>
      </w:r>
      <w:bookmarkEnd w:id="33"/>
    </w:p>
    <w:p>
      <w:pPr>
        <w:pStyle w:val="CaptionedFigure"/>
      </w:pPr>
      <w:r>
        <w:drawing>
          <wp:inline>
            <wp:extent cx="5334000" cy="4267200"/>
            <wp:effectExtent b="0" l="0" r="0" t="0"/>
            <wp:docPr descr="不同性别员工日薪分布密度图（蓝色代表已婚）"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不同性别员工日薪分布密度图（蓝色代表已婚）</w:t>
      </w:r>
    </w:p>
    <w:p>
      <w:pPr>
        <w:pStyle w:val="BodyText"/>
      </w:pPr>
      <w:r>
        <w:t xml:space="preserve">女性相比男性，时薪在 20 - 25 美元的低水平处聚集更加明显。</w:t>
      </w:r>
    </w:p>
    <w:p>
      <w:pPr>
        <w:pStyle w:val="BodyText"/>
      </w:pPr>
      <w:r>
        <w:t xml:space="preserve">已婚员工群体相对于未婚员工群体，最低薪资相对更高一些，低收入范围的平均工资更高一些，且中等收入范围的员工比例更多。考虑到婚姻状况与年龄强相关，我们认为这很有可能是由员工的工作经验所带来的影响。</w:t>
      </w:r>
    </w:p>
    <w:p>
      <w:pPr>
        <w:pStyle w:val="Heading3"/>
      </w:pPr>
      <w:bookmarkStart w:id="35" w:name="产品相关特殊日收入"/>
      <w:r>
        <w:t xml:space="preserve">产品相关/特殊日/收入</w:t>
      </w:r>
      <w:bookmarkEnd w:id="35"/>
    </w:p>
    <w:p>
      <w:pPr>
        <w:pStyle w:val="CaptionedFigure"/>
      </w:pPr>
      <w:r>
        <w:drawing>
          <wp:inline>
            <wp:extent cx="5334000" cy="4267200"/>
            <wp:effectExtent b="0" l="0" r="0" t="0"/>
            <wp:docPr descr="离职与在职两类不同部门员工参与感箱线图（红色代表离职）"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离职与在职两类不同部门员工参与感箱线图（红色代表离职）</w:t>
      </w:r>
    </w:p>
    <w:p>
      <w:pPr>
        <w:pStyle w:val="BodyText"/>
      </w:pPr>
      <w:r>
        <w:t xml:space="preserve">技术和销售部门员工的参与感不如生产和行政部门。从需求层次理论出发，员工有着实现自身价值的需要。对于 IT 和软件开发部门，离职者的参与感比在职者弱，他们离职的原因之一是没有获得足够的归属感和价值感。而对于销售和生产部门，离职着的参与感比在职者更强，工作太过繁忙可能是促成他们离职的一大原因。而对于行政岗位，没有足够的参与感往往意味着地位不足，可能收到部门的排挤和边缘化，促成了人员的离职。</w:t>
      </w:r>
    </w:p>
    <w:p>
      <w:pPr>
        <w:pStyle w:val="Heading3"/>
      </w:pPr>
      <w:bookmarkStart w:id="37" w:name="绩效"/>
      <w:r>
        <w:t xml:space="preserve">绩效</w:t>
      </w:r>
      <w:bookmarkEnd w:id="37"/>
    </w:p>
    <w:p>
      <w:pPr>
        <w:pStyle w:val="CaptionedFigure"/>
      </w:pPr>
      <w:r>
        <w:drawing>
          <wp:inline>
            <wp:extent cx="5334000" cy="4267200"/>
            <wp:effectExtent b="0" l="0" r="0" t="0"/>
            <wp:docPr descr="不同任职状况的员工绩效（红色代表离职）"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不同任职状况的员工绩效（红色代表离职）</w:t>
      </w:r>
    </w:p>
    <w:p>
      <w:pPr>
        <w:pStyle w:val="SourceCode"/>
      </w:pPr>
      <w:r>
        <w:rPr>
          <w:rStyle w:val="VerbatimChar"/>
        </w:rPr>
        <w:t xml:space="preserve">##    Min. 1st Qu.  Median    Mean 3rd Qu.    Max. </w:t>
      </w:r>
      <w:r>
        <w:br/>
      </w:r>
      <w:r>
        <w:rPr>
          <w:rStyle w:val="VerbatimChar"/>
        </w:rPr>
        <w:t xml:space="preserve">## 0.00000 0.00000 0.00000 0.06143 0.00000 1.00000</w:t>
      </w:r>
    </w:p>
    <w:p>
      <w:pPr>
        <w:pStyle w:val="FirstParagraph"/>
      </w:pPr>
      <w:r>
        <w:t xml:space="preserve">我们发现：</w:t>
      </w:r>
    </w:p>
    <w:p>
      <w:pPr>
        <w:pStyle w:val="Compact"/>
        <w:numPr>
          <w:numId w:val="1004"/>
          <w:ilvl w:val="0"/>
        </w:numPr>
      </w:pPr>
      <w:r>
        <w:t xml:space="preserve">在职员工的绩效普遍都在优秀和良好两档</w:t>
      </w:r>
    </w:p>
    <w:p>
      <w:pPr>
        <w:pStyle w:val="Compact"/>
        <w:numPr>
          <w:numId w:val="1004"/>
          <w:ilvl w:val="0"/>
        </w:numPr>
      </w:pPr>
      <w:r>
        <w:t xml:space="preserve">自愿离职的员工绩效优秀的比例小一些</w:t>
      </w:r>
    </w:p>
    <w:p>
      <w:pPr>
        <w:pStyle w:val="Compact"/>
        <w:numPr>
          <w:numId w:val="1004"/>
          <w:ilvl w:val="0"/>
        </w:numPr>
      </w:pPr>
      <w:r>
        <w:t xml:space="preserve">被解雇的员工绩效为</w:t>
      </w:r>
      <w:r>
        <w:t xml:space="preserve"> </w:t>
      </w:r>
      <w:r>
        <w:t xml:space="preserve">“</w:t>
      </w:r>
      <w:r>
        <w:t xml:space="preserve">需要提高</w:t>
      </w:r>
      <w:r>
        <w:t xml:space="preserve">”</w:t>
      </w:r>
      <w:r>
        <w:t xml:space="preserve"> </w:t>
      </w:r>
      <w:r>
        <w:t xml:space="preserve">的比例非常高，同时解雇前已经被列入</w:t>
      </w:r>
      <w:r>
        <w:t xml:space="preserve"> </w:t>
      </w:r>
      <w:r>
        <w:t xml:space="preserve">“</w:t>
      </w:r>
      <w:r>
        <w:t xml:space="preserve">解雇缓冲</w:t>
      </w:r>
      <w:r>
        <w:t xml:space="preserve">”</w:t>
      </w:r>
      <w:r>
        <w:t xml:space="preserve"> </w:t>
      </w:r>
      <w:r>
        <w:t xml:space="preserve">的比例远高于在职和自愿离职的员工</w:t>
      </w:r>
    </w:p>
    <w:p>
      <w:pPr>
        <w:pStyle w:val="FirstParagraph"/>
      </w:pPr>
      <w:r>
        <w:t xml:space="preserve">可见绩效表现不好、不适应工作是员工自愿离职或被解雇的重要原因之一。</w:t>
      </w:r>
    </w:p>
    <w:p>
      <w:r>
        <w:br w:type="page"/>
      </w:r>
    </w:p>
    <w:p>
      <w:pPr>
        <w:pStyle w:val="Heading1"/>
      </w:pPr>
      <w:bookmarkStart w:id="39" w:name="建立解释模型"/>
      <w:r>
        <w:t xml:space="preserve">建立解释模型</w:t>
      </w:r>
      <w:bookmarkEnd w:id="39"/>
    </w:p>
    <w:p>
      <w:pPr>
        <w:pStyle w:val="Heading2"/>
      </w:pPr>
      <w:bookmarkStart w:id="40" w:name="拟合"/>
      <w:r>
        <w:t xml:space="preserve">拟合</w:t>
      </w:r>
      <w:bookmarkEnd w:id="40"/>
    </w:p>
    <w:p>
      <w:pPr>
        <w:pStyle w:val="FirstParagraph"/>
      </w:pPr>
      <w:r>
        <w:t xml:space="preserve">因为 logit 模型相对简单，求解速度快，且具有较强的可解释性，故我们使用 logit 模型对样本进行拟合。</w:t>
      </w:r>
      <w:r>
        <w:rPr>
          <w:rStyle w:val="FootnoteReference"/>
        </w:rPr>
        <w:footnoteReference w:id="41"/>
      </w:r>
    </w:p>
    <w:p>
      <w:pPr>
        <w:pStyle w:val="BodyText"/>
      </w:pPr>
      <w:r>
        <w:t xml:space="preserve">我们将</w:t>
      </w:r>
      <w:r>
        <w:rPr>
          <w:b/>
        </w:rPr>
        <w:t xml:space="preserve">离职</w:t>
      </w:r>
      <w:r>
        <w:t xml:space="preserve">作为响应变量，选取的自变量有：</w:t>
      </w:r>
    </w:p>
    <w:p>
      <w:pPr>
        <w:pStyle w:val="Compact"/>
        <w:numPr>
          <w:numId w:val="1005"/>
          <w:ilvl w:val="0"/>
        </w:numPr>
      </w:pPr>
      <w:r>
        <w:t xml:space="preserve">性别</w:t>
      </w:r>
    </w:p>
    <w:p>
      <w:pPr>
        <w:pStyle w:val="Compact"/>
        <w:numPr>
          <w:numId w:val="1005"/>
          <w:ilvl w:val="0"/>
        </w:numPr>
      </w:pPr>
      <w:r>
        <w:t xml:space="preserve">婚姻状况：包括离婚、已婚、分居、未婚、配偶去世</w:t>
      </w:r>
    </w:p>
    <w:p>
      <w:pPr>
        <w:pStyle w:val="Compact"/>
        <w:numPr>
          <w:numId w:val="1005"/>
          <w:ilvl w:val="0"/>
        </w:numPr>
      </w:pPr>
      <w:r>
        <w:t xml:space="preserve">所在部门：包括行政部、总裁办公室、IT部门、产品部门、销售部门、软件工程部门</w:t>
      </w:r>
    </w:p>
    <w:p>
      <w:pPr>
        <w:pStyle w:val="Compact"/>
        <w:numPr>
          <w:numId w:val="1005"/>
          <w:ilvl w:val="0"/>
        </w:numPr>
      </w:pPr>
      <w:r>
        <w:t xml:space="preserve">绩效：超过、符合要求、需要提高、进入淘汰流程</w:t>
      </w:r>
    </w:p>
    <w:p>
      <w:pPr>
        <w:pStyle w:val="Compact"/>
        <w:numPr>
          <w:numId w:val="1005"/>
          <w:ilvl w:val="0"/>
        </w:numPr>
      </w:pPr>
      <w:r>
        <w:t xml:space="preserve">员工参与感：1-5 员工自行打分</w:t>
      </w:r>
    </w:p>
    <w:p>
      <w:pPr>
        <w:pStyle w:val="Compact"/>
        <w:numPr>
          <w:numId w:val="1005"/>
          <w:ilvl w:val="0"/>
        </w:numPr>
      </w:pPr>
      <w:r>
        <w:t xml:space="preserve">员工满意度：1-5 员工自行打分</w:t>
      </w:r>
    </w:p>
    <w:p>
      <w:pPr>
        <w:pStyle w:val="Compact"/>
        <w:numPr>
          <w:numId w:val="1005"/>
          <w:ilvl w:val="0"/>
        </w:numPr>
      </w:pPr>
      <w:r>
        <w:t xml:space="preserve">在过去的 6 个月内员工进行的特殊项目个数</w:t>
      </w:r>
    </w:p>
    <w:p>
      <w:pPr>
        <w:pStyle w:val="Compact"/>
        <w:numPr>
          <w:numId w:val="1005"/>
          <w:ilvl w:val="0"/>
        </w:numPr>
      </w:pPr>
      <w:r>
        <w:t xml:space="preserve">时薪（美元）</w:t>
      </w:r>
    </w:p>
    <w:p>
      <w:pPr>
        <w:pStyle w:val="FirstParagraph"/>
      </w:pPr>
      <w:r>
        <w:t xml:space="preserve">对于连续型变量，我们直接将它们加入模型之中；对于因子型变量，我们将它们转换成为隐变量。</w:t>
      </w:r>
    </w:p>
    <w:p>
      <w:pPr>
        <w:pStyle w:val="BodyText"/>
      </w:pPr>
      <w:r>
        <w:t xml:space="preserve">在 Z 检验的 p 值中，在众多的因素之中，只有</w:t>
      </w:r>
      <w:r>
        <w:rPr>
          <w:b/>
        </w:rPr>
        <w:t xml:space="preserve">婚姻状况</w:t>
      </w:r>
      <w:r>
        <w:t xml:space="preserve">中的</w:t>
      </w:r>
      <w:r>
        <w:t xml:space="preserve">“</w:t>
      </w:r>
      <w:r>
        <w:t xml:space="preserve">分居</w:t>
      </w:r>
      <w:r>
        <w:t xml:space="preserve">”</w:t>
      </w:r>
      <w:r>
        <w:t xml:space="preserve">和</w:t>
      </w:r>
      <w:r>
        <w:t xml:space="preserve">“</w:t>
      </w:r>
      <w:r>
        <w:t xml:space="preserve">单身</w:t>
      </w:r>
      <w:r>
        <w:t xml:space="preserve">”</w:t>
      </w:r>
      <w:r>
        <w:t xml:space="preserve">，和</w:t>
      </w:r>
      <w:r>
        <w:rPr>
          <w:b/>
        </w:rPr>
        <w:t xml:space="preserve">绩效表现</w:t>
      </w:r>
      <w:r>
        <w:t xml:space="preserve">中的</w:t>
      </w:r>
      <w:r>
        <w:t xml:space="preserve">“</w:t>
      </w:r>
      <w:r>
        <w:t xml:space="preserve">有待提高</w:t>
      </w:r>
      <w:r>
        <w:t xml:space="preserve">”</w:t>
      </w:r>
      <w:r>
        <w:t xml:space="preserve">是统计上显著的。</w:t>
      </w:r>
      <w:r>
        <w:rPr>
          <w:rStyle w:val="FootnoteReference"/>
        </w:rPr>
        <w:footnoteReference w:id="42"/>
      </w:r>
    </w:p>
    <w:p>
      <w:pPr>
        <w:pStyle w:val="Compact"/>
        <w:numPr>
          <w:numId w:val="1006"/>
          <w:ilvl w:val="0"/>
        </w:numPr>
      </w:pPr>
      <w:r>
        <w:t xml:space="preserve">分居者和单身者的离职概率都显著较低，这可能与他们在经济上的独立性有关。分居者和单身者相比结婚合居者，在经济上不太依赖他人，有稳定的收入对他们来说更为重要，离职率自然较低一些。</w:t>
      </w:r>
    </w:p>
    <w:p>
      <w:pPr>
        <w:pStyle w:val="Compact"/>
        <w:numPr>
          <w:numId w:val="1006"/>
          <w:ilvl w:val="0"/>
        </w:numPr>
      </w:pPr>
      <w:r>
        <w:t xml:space="preserve">绩效表现较差的员工离职概率也较高，这一方面可能是由于员工自身品质不佳或能力不足造成的不胜任岗位；另一方面也可能是员工与企业的文化不契合，对于工作内容或是上级不适应不喜欢；还有可能是企业处于末位淘汰制度或是效益不好，而对员工进行主动辞退的操作。</w:t>
      </w:r>
    </w:p>
    <w:p>
      <w:pPr>
        <w:pStyle w:val="FirstParagraph"/>
      </w:pPr>
      <w:r>
        <w:t xml:space="preserve">同时，</w:t>
      </w:r>
      <w:r>
        <w:rPr>
          <w:b/>
        </w:rPr>
        <w:t xml:space="preserve">部门</w:t>
      </w:r>
      <w:r>
        <w:t xml:space="preserve">中的销售部门、</w:t>
      </w:r>
      <w:r>
        <w:rPr>
          <w:b/>
        </w:rPr>
        <w:t xml:space="preserve">绩效表现</w:t>
      </w:r>
      <w:r>
        <w:t xml:space="preserve">中的</w:t>
      </w:r>
      <w:r>
        <w:t xml:space="preserve">“</w:t>
      </w:r>
      <w:r>
        <w:t xml:space="preserve">良好</w:t>
      </w:r>
      <w:r>
        <w:t xml:space="preserve">”</w:t>
      </w:r>
      <w:r>
        <w:t xml:space="preserve">和</w:t>
      </w:r>
      <w:r>
        <w:rPr>
          <w:b/>
        </w:rPr>
        <w:t xml:space="preserve">特殊项目数量</w:t>
      </w:r>
      <w:r>
        <w:t xml:space="preserve">这三个变量也有一定的显著性。</w:t>
      </w:r>
      <w:r>
        <w:rPr>
          <w:rStyle w:val="FootnoteReference"/>
        </w:rPr>
        <w:footnoteReference w:id="43"/>
      </w:r>
    </w:p>
    <w:p>
      <w:pPr>
        <w:pStyle w:val="Compact"/>
        <w:numPr>
          <w:numId w:val="1007"/>
          <w:ilvl w:val="0"/>
        </w:numPr>
      </w:pPr>
      <w:r>
        <w:t xml:space="preserve">相比技术部门，销售部门人员离职概率较低，这可能与销售人员在行业内专一产品方向所积累的经验和人脉有关。相比 IT 技术人员，销售人员的人脉可能更加局限于某一细分行业，跳槽的机会较少；而且，随着经验和人脉的积累，销售部门人员在企业内逐渐拿到更多的销售提成，对于企业的价值越来越大，企业对资深销售人员的待遇逐渐抬升；反过来，销售人员也一定程度上依赖着企业的平台，跳槽对于销售人员的不确定性较高。</w:t>
      </w:r>
    </w:p>
    <w:p>
      <w:pPr>
        <w:pStyle w:val="Compact"/>
        <w:numPr>
          <w:numId w:val="1007"/>
          <w:ilvl w:val="0"/>
        </w:numPr>
      </w:pPr>
      <w:r>
        <w:t xml:space="preserve">特殊项目的数量与离职率负相关，从心理学的角度，这与员工的成就感和价值感有关，由于他们的工作不仅局限于日常工作，其它的项目推进让他们有更多的参与感和成就感，进而增强了对企业的归属感；同时，反过来说，参加特殊项目多的员工很可能本身就是为企业器重的核心人员，他们本身待遇和地位都较高，离职倾向不明显。</w:t>
      </w:r>
    </w:p>
    <w:p>
      <w:pPr>
        <w:pStyle w:val="Heading2"/>
      </w:pPr>
      <w:bookmarkStart w:id="44" w:name="预测"/>
      <w:r>
        <w:t xml:space="preserve">预测</w:t>
      </w:r>
      <w:bookmarkEnd w:id="44"/>
    </w:p>
    <w:p>
      <w:pPr>
        <w:pStyle w:val="FirstParagraph"/>
      </w:pPr>
      <w:r>
        <w:t xml:space="preserve">我们对样本进行随机抽样，划分为 75% 的训练集和 25% 的测试集（验证集）。</w:t>
      </w:r>
    </w:p>
    <w:p>
      <w:pPr>
        <w:pStyle w:val="CaptionedFigure"/>
      </w:pPr>
      <w:r>
        <w:drawing>
          <wp:inline>
            <wp:extent cx="5334000" cy="4267200"/>
            <wp:effectExtent b="0" l="0" r="0" t="0"/>
            <wp:docPr descr="预测的离职概率值（红色代表已知为离职）" title="" id="1" name="Picture"/>
            <a:graphic>
              <a:graphicData uri="http://schemas.openxmlformats.org/drawingml/2006/picture">
                <pic:pic>
                  <pic:nvPicPr>
                    <pic:cNvPr descr="main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预测的离职概率值（红色代表已知为离职）</w:t>
      </w:r>
    </w:p>
    <w:p>
      <w:pPr>
        <w:pStyle w:val="BodyText"/>
      </w:pPr>
      <w:r>
        <w:t xml:space="preserve">从预测概率分布图，对于真实情况为在职的员工，我们预测出的离职概率值的分布是有偏的；比较之下，对于真实情况为在职的员工，我们预测出的离职概率值的分布则显得较为均匀。</w:t>
      </w:r>
    </w:p>
    <w:p>
      <w:pPr>
        <w:pStyle w:val="BodyText"/>
      </w:pPr>
      <w:r>
        <w:t xml:space="preserve">对于真实情况为离职的员工，大部分得到的预测离职概率值的确都比较高。但对于真实情况为在职的员工，虽然大部分得到的预测离职概率较低，但仍然有相当一部分的预测离职概率值超过 50%。</w:t>
      </w:r>
    </w:p>
    <w:p>
      <w:pPr>
        <w:pStyle w:val="BodyText"/>
      </w:pPr>
      <w:r>
        <w:t xml:space="preserve">为此，我们猜想：</w:t>
      </w:r>
      <w:r>
        <w:rPr>
          <w:b/>
        </w:rPr>
        <w:t xml:space="preserve">我们的模型将没有离职倾向的员工错预测为离职的概率较低，但是较难识别出可能离职的员工。</w:t>
      </w:r>
    </w:p>
    <w:p>
      <w:pPr>
        <w:pStyle w:val="BodyText"/>
      </w:pPr>
      <w:r>
        <w:t xml:space="preserve">为了验证我们的猜想，我们使用混淆矩阵来计算预测模型的灵敏度和特异度。</w:t>
      </w:r>
    </w:p>
    <w:p>
      <w:pPr>
        <w:pStyle w:val="Heading2"/>
      </w:pPr>
      <w:bookmarkStart w:id="46" w:name="混淆矩阵与验证结果"/>
      <w:r>
        <w:t xml:space="preserve">混淆矩阵与验证结果</w:t>
      </w:r>
      <w:bookmarkEnd w:id="46"/>
    </w:p>
    <w:p>
      <w:pPr>
        <w:pStyle w:val="FirstParagraph"/>
      </w:pPr>
      <w:r>
        <w:t xml:space="preserve">我们将预测概率大于 50% 的判定为离职。</w:t>
      </w:r>
    </w:p>
    <w:p>
      <w:pPr>
        <w:pStyle w:val="BodyText"/>
      </w:pPr>
      <w:r>
        <w:t xml:space="preserve">灵敏度（Sensitivity）</w:t>
      </w:r>
    </w:p>
    <w:p>
      <w:pPr>
        <w:pStyle w:val="BodyText"/>
      </w:pPr>
      <m:oMathPara>
        <m:oMathParaPr>
          <m:jc m:val="center"/>
        </m:oMathParaPr>
        <m:oMath>
          <m:r>
            <m:rPr>
              <m:nor/>
              <m:sty m:val="p"/>
            </m:rPr>
            <m:t>灵敏度</m:t>
          </m:r>
          <m:r>
            <m:t>=</m:t>
          </m:r>
          <m:f>
            <m:fPr>
              <m:type m:val="bar"/>
            </m:fPr>
            <m:num>
              <m:r>
                <m:rPr>
                  <m:nor/>
                  <m:sty m:val="p"/>
                </m:rPr>
                <m:t>正确判定为“离职”的样本数量</m:t>
              </m:r>
            </m:num>
            <m:den>
              <m:r>
                <m:rPr>
                  <m:nor/>
                  <m:sty m:val="p"/>
                </m:rPr>
                <m:t>观测到的“离职”的样本数量</m:t>
              </m:r>
            </m:den>
          </m:f>
        </m:oMath>
      </m:oMathPara>
    </w:p>
    <w:p>
      <w:pPr>
        <w:pStyle w:val="FirstParagraph"/>
      </w:pPr>
      <w:r>
        <w:t xml:space="preserve">特异度（Specificity）</w:t>
      </w:r>
    </w:p>
    <w:p>
      <w:pPr>
        <w:pStyle w:val="BodyText"/>
      </w:pPr>
      <m:oMathPara>
        <m:oMathParaPr>
          <m:jc m:val="center"/>
        </m:oMathParaPr>
        <m:oMath>
          <m:r>
            <m:rPr>
              <m:nor/>
              <m:sty m:val="p"/>
            </m:rPr>
            <m:t>特异度</m:t>
          </m:r>
          <m:r>
            <m:t>=</m:t>
          </m:r>
          <m:f>
            <m:fPr>
              <m:type m:val="bar"/>
            </m:fPr>
            <m:num>
              <m:r>
                <m:rPr>
                  <m:nor/>
                  <m:sty m:val="p"/>
                </m:rPr>
                <m:t>正确判定为“在职”的样本数量</m:t>
              </m:r>
            </m:num>
            <m:den>
              <m:r>
                <m:rPr>
                  <m:nor/>
                  <m:sty m:val="p"/>
                </m:rPr>
                <m:t>观测到的“在职”的样本数量</m:t>
              </m:r>
            </m:den>
          </m:f>
        </m:oMath>
      </m:oMathPara>
    </w:p>
    <w:p>
      <w:pPr>
        <w:pStyle w:val="FirstParagraph"/>
      </w:pPr>
      <w:r>
        <w:t xml:space="preserve">假离职率</w:t>
      </w:r>
    </w:p>
    <w:p>
      <w:pPr>
        <w:pStyle w:val="BodyText"/>
      </w:pPr>
      <m:oMathPara>
        <m:oMathParaPr>
          <m:jc m:val="center"/>
        </m:oMathParaPr>
        <m:oMath>
          <m:r>
            <m:rPr>
              <m:nor/>
              <m:sty m:val="p"/>
            </m:rPr>
            <m:t>假离职率</m:t>
          </m:r>
          <m:r>
            <m:t>=</m:t>
          </m:r>
          <m:r>
            <m:t>1</m:t>
          </m:r>
          <m:r>
            <m:t>−</m:t>
          </m:r>
          <m:r>
            <m:rPr>
              <m:nor/>
              <m:sty m:val="p"/>
            </m:rPr>
            <m:t>观测到的“在职”的样本数量</m:t>
          </m:r>
        </m:oMath>
      </m:oMathPara>
    </w:p>
    <w:p>
      <w:pPr>
        <w:pStyle w:val="FirstParagraph"/>
      </w:pPr>
      <w:r>
        <w:t xml:space="preserve">可以看到：使用简单的 Logit 回归模型进行预测的准确率大致为: 59.2% ，95%置信区间为 (0.5131, 0.7394) ，并不算高，甚至低于无信息准确率（即不经预测直接将所有员工归为在职）。但这并不代表模型是无用的。</w:t>
      </w:r>
      <w:r>
        <w:rPr>
          <w:rStyle w:val="FootnoteReference"/>
        </w:rPr>
        <w:footnoteReference w:id="47"/>
      </w:r>
    </w:p>
    <w:p>
      <w:pPr>
        <w:pStyle w:val="BodyText"/>
      </w:pPr>
      <w:r>
        <w:t xml:space="preserve">从灵敏度和特异度来看：4% 的有离职倾向的员工会被模型成功捕捉到；对于模型捕捉到的员工，只有 13.7% 的误判率。</w:t>
      </w:r>
    </w:p>
    <w:p>
      <w:pPr>
        <w:pStyle w:val="BodyText"/>
      </w:pPr>
      <w:r>
        <w:t xml:space="preserve">这验证了我们的猜测：</w:t>
      </w:r>
      <w:r>
        <w:rPr>
          <w:b/>
        </w:rPr>
        <w:t xml:space="preserve">对于真正离职的员工，模型不一定能准确预测到；不过模型预测认为有离职倾向的员工在绝大部分情况下的确会发生离职。</w:t>
      </w:r>
    </w:p>
    <w:p>
      <w:pPr>
        <w:pStyle w:val="BodyText"/>
      </w:pPr>
      <w:r>
        <w:t xml:space="preserve">在模型准确度稳定的前提下，需要我们在灵敏度和特异度之间有所取舍。实际上，由于样本会更多的被认为是</w:t>
      </w:r>
      <w:r>
        <w:t xml:space="preserve">“</w:t>
      </w:r>
      <w:r>
        <w:t xml:space="preserve">发生</w:t>
      </w:r>
      <w:r>
        <w:t xml:space="preserve">”</w:t>
      </w:r>
      <w:r>
        <w:t xml:space="preserve">，所以灵敏度上升会使特异度下降。这二者之间的潜在利弊的权衡是合理的，因为不同类型的错误对应不同的惩罚。在对员工是否会离职做识别和预测的时候我们通常关注特异度，只要模型能够捕捉到部分可能离职的员工，模型对于企业人力资源部门或是劳动力服务中心还是有很强的实用性的。</w:t>
      </w:r>
    </w:p>
    <w:p>
      <w:pPr>
        <w:pStyle w:val="Heading2"/>
      </w:pPr>
      <w:bookmarkStart w:id="48" w:name="接受者操作特征roc曲线"/>
      <w:r>
        <w:t xml:space="preserve">接受者操作特征（ROC）曲线</w:t>
      </w:r>
      <w:bookmarkEnd w:id="48"/>
    </w:p>
    <w:p>
      <w:pPr>
        <w:pStyle w:val="FirstParagraph"/>
      </w:pPr>
      <w:r>
        <w:t xml:space="preserve">为了在灵敏度和特异度二者间权衡，我们使用接受者操作特征（ROC）曲线。</w:t>
      </w:r>
    </w:p>
    <w:p>
      <w:pPr>
        <w:pStyle w:val="BodyText"/>
      </w:pPr>
      <w:r>
        <w:t xml:space="preserve">ROC曲线 (Altman 和 Bland 1994; Brown 和 Davis 2006; Fawcett 2006)</w:t>
      </w:r>
      <w:r>
        <w:t xml:space="preserve"> </w:t>
      </w:r>
      <w:r>
        <w:t xml:space="preserve">[5]</w:t>
      </w:r>
      <w:r>
        <w:t xml:space="preserve"> </w:t>
      </w:r>
      <w:r>
        <w:t xml:space="preserve">[6]</w:t>
      </w:r>
      <w:r>
        <w:t xml:space="preserve"> </w:t>
      </w:r>
      <w:r>
        <w:t xml:space="preserve">[7]</w:t>
      </w:r>
      <w:r>
        <w:t xml:space="preserve"> </w:t>
      </w:r>
      <w:r>
        <w:t xml:space="preserve">是一种常用方法, 在给定连续数据点集合的情况下，确定有效阈值，使阈值以上的值表示特定事件。ROC 曲线可以用来决定分类概率的阈值。</w:t>
      </w:r>
    </w:p>
    <w:p>
      <w:pPr>
        <w:pStyle w:val="CaptionedFigure"/>
      </w:pPr>
      <w:r>
        <w:drawing>
          <wp:inline>
            <wp:extent cx="5334000" cy="4267200"/>
            <wp:effectExtent b="0" l="0" r="0" t="0"/>
            <wp:docPr descr="Logit 模型的 ROC 曲线" title="" id="1" name="Picture"/>
            <a:graphic>
              <a:graphicData uri="http://schemas.openxmlformats.org/drawingml/2006/picture">
                <pic:pic>
                  <pic:nvPicPr>
                    <pic:cNvPr descr="main_files/figure-docx/unnamed-chunk-1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Logit 模型的 ROC 曲线</w:t>
      </w:r>
    </w:p>
    <w:p>
      <w:pPr>
        <w:pStyle w:val="BodyText"/>
      </w:pPr>
      <w:r>
        <w:t xml:space="preserve">前文计算灵敏度和特异度时，我们默认 50% 概率阈值。为了捕获更多真阳性样本的方式提高灵敏度，我们可以通过降低阈值的方法，将灵敏度从 4% 提高到了 96% ，特异度从 86.3% 降低到了 35.3%。</w:t>
      </w:r>
    </w:p>
    <w:p>
      <w:pPr>
        <w:pStyle w:val="BodyText"/>
      </w:pPr>
      <w:r>
        <w:t xml:space="preserve">也就是说，降低阈值有利于我们识别出更多有离职倾向的员工，但同时也会使误判的几率上升。</w:t>
      </w:r>
    </w:p>
    <w:p>
      <w:pPr>
        <w:pStyle w:val="BodyText"/>
      </w:pPr>
      <w:r>
        <w:t xml:space="preserve">在实际操作中，我们可以通过</w:t>
      </w:r>
      <w:r>
        <w:rPr>
          <w:b/>
        </w:rPr>
        <w:t xml:space="preserve">确定不同的阈值来达到不同的效果</w:t>
      </w:r>
      <w:r>
        <w:t xml:space="preserve">，例如：</w:t>
      </w:r>
    </w:p>
    <w:p>
      <w:pPr>
        <w:pStyle w:val="Compact"/>
        <w:numPr>
          <w:numId w:val="1008"/>
          <w:ilvl w:val="0"/>
        </w:numPr>
      </w:pPr>
      <w:r>
        <w:t xml:space="preserve">当业务要求尽量减少筛选出的离职员工并减少错判时，可以通过提高阈值的方式增加特异度。</w:t>
      </w:r>
    </w:p>
    <w:p>
      <w:pPr>
        <w:pStyle w:val="Compact"/>
        <w:numPr>
          <w:numId w:val="1008"/>
          <w:ilvl w:val="0"/>
        </w:numPr>
      </w:pPr>
      <w:r>
        <w:t xml:space="preserve">当业务要求尽量识别覆盖范围更广时，可以通过降低阈值的方式提高灵敏度，以检测出更多潜在离职者以扩大服务范围。</w:t>
      </w:r>
    </w:p>
    <w:p>
      <w:pPr>
        <w:pStyle w:val="Compact"/>
        <w:numPr>
          <w:numId w:val="1008"/>
          <w:ilvl w:val="0"/>
        </w:numPr>
      </w:pPr>
      <w:r>
        <w:t xml:space="preserve">在进行人数评估时，通过平衡错判的成本与查漏的损失，确定适中的阈值以达到估计的准确性。</w:t>
      </w:r>
    </w:p>
    <w:p>
      <w:pPr>
        <w:pStyle w:val="Heading1"/>
      </w:pPr>
      <w:bookmarkStart w:id="50" w:name="预测模型的选择"/>
      <w:r>
        <w:t xml:space="preserve">预测模型的选择</w:t>
      </w:r>
      <w:bookmarkEnd w:id="50"/>
    </w:p>
    <w:p>
      <w:pPr>
        <w:pStyle w:val="Heading2"/>
      </w:pPr>
      <w:bookmarkStart w:id="51" w:name="抽样训练与评价指标"/>
      <w:r>
        <w:t xml:space="preserve">抽样、训练与评价指标</w:t>
      </w:r>
      <w:bookmarkEnd w:id="51"/>
    </w:p>
    <w:p>
      <w:pPr>
        <w:pStyle w:val="FirstParagraph"/>
      </w:pPr>
      <w:r>
        <w:t xml:space="preserve">由于数据量较大，我们随机抽取部分数据用于模型的训练和验证，使用10折交叉验证，重复2次的方法进行重抽样，使用 Kappa 和准确率作为模型的评价指标。</w:t>
      </w:r>
      <w:r>
        <w:rPr>
          <w:rStyle w:val="FootnoteReference"/>
        </w:rPr>
        <w:footnoteReference w:id="52"/>
      </w:r>
    </w:p>
    <w:p>
      <w:pPr>
        <w:pStyle w:val="BodyText"/>
      </w:pPr>
      <w:r>
        <w:t xml:space="preserve">Kappa 统计量（Cohen 1960）</w:t>
      </w:r>
      <w:r>
        <w:t xml:space="preserve"> </w:t>
      </w:r>
      <w:r>
        <w:t xml:space="preserve">[8]</w:t>
      </w:r>
      <w:r>
        <w:t xml:space="preserve"> </w:t>
      </w:r>
      <w:r>
        <w:t xml:space="preserve">最初是一个用来评估两个估价者评估结果的一致性，同时也考虑到了由偶然情况引起的准确性误差。</w:t>
      </w:r>
    </w:p>
    <w:p>
      <w:pPr>
        <w:pStyle w:val="BodyText"/>
      </w:pPr>
      <m:oMathPara>
        <m:oMathParaPr>
          <m:jc m:val="center"/>
        </m:oMathParaPr>
        <m:oMath>
          <m:r>
            <m:rPr>
              <m:sty m:val="p"/>
            </m:rPr>
            <m:t>K</m:t>
          </m:r>
          <m:r>
            <m:rPr>
              <m:sty m:val="p"/>
            </m:rPr>
            <m:t>a</m:t>
          </m:r>
          <m:r>
            <m:rPr>
              <m:sty m:val="p"/>
            </m:rPr>
            <m:t>p</m:t>
          </m:r>
          <m:r>
            <m:rPr>
              <m:sty m:val="p"/>
            </m:rPr>
            <m:t>p</m:t>
          </m:r>
          <m:r>
            <m:rPr>
              <m:sty m:val="p"/>
            </m:rPr>
            <m:t>a</m:t>
          </m:r>
          <m:r>
            <m:t>=</m:t>
          </m:r>
          <m:f>
            <m:fPr>
              <m:type m:val="bar"/>
            </m:fPr>
            <m:num>
              <m:r>
                <m:t>O</m:t>
              </m:r>
              <m:r>
                <m:t>−</m:t>
              </m:r>
              <m:r>
                <m:t>E</m:t>
              </m:r>
            </m:num>
            <m:den>
              <m:r>
                <m:t>1</m:t>
              </m:r>
              <m:r>
                <m:t>−</m:t>
              </m:r>
              <m:r>
                <m:t>E</m:t>
              </m:r>
            </m:den>
          </m:f>
        </m:oMath>
      </m:oMathPara>
    </w:p>
    <w:p>
      <w:pPr>
        <w:pStyle w:val="FirstParagraph"/>
      </w:pPr>
      <w:r>
        <w:t xml:space="preserve">在上面的公式里，O代表的是准确性，E则代表着根据混淆矩阵边缘计数得出的期望准确性。0值意味着观测类和预测类是不同的，1值表示模型的预测与观测类是相同的，这个统计的量取值在-1和1之间。虽然绝对值大的负数值在模型预测中出现的很少，但负数代表实际和预测值是相反的。总精确度在各类分布相同的时候与 Kappa是成比例的。Kappa值在0.30到0.50间代表着合理的一致性，这要依具体情况而定。（Agresti 2002）</w:t>
      </w:r>
    </w:p>
    <w:p>
      <w:pPr>
        <w:pStyle w:val="Heading2"/>
      </w:pPr>
      <w:bookmarkStart w:id="53" w:name="logit-回归"/>
      <w:r>
        <w:t xml:space="preserve">Logit 回归</w:t>
      </w:r>
      <w:bookmarkEnd w:id="53"/>
    </w:p>
    <w:p>
      <w:pPr>
        <w:pStyle w:val="FirstParagraph"/>
      </w:pPr>
      <w:r>
        <w:t xml:space="preserve">Logit 是一个受到非常广泛应用的模型，它十分简单、计算速度非常快，而且具有很强的可解释性。虽然 Logit 模型已经有很好的预测分类能力，但如果我们仅仅关注这一预测准确性这一指标，可能还有其它模型有更佳的表现。</w:t>
      </w:r>
    </w:p>
    <w:p>
      <w:pPr>
        <w:pStyle w:val="Heading2"/>
      </w:pPr>
      <w:bookmarkStart w:id="54" w:name="线性判别分析lda"/>
      <w:r>
        <w:t xml:space="preserve">线性判别分析（LDA）</w:t>
      </w:r>
      <w:bookmarkEnd w:id="54"/>
    </w:p>
    <w:p>
      <w:pPr>
        <w:pStyle w:val="FirstParagraph"/>
      </w:pPr>
      <w:r>
        <w:t xml:space="preserve">Fisher（1936）</w:t>
      </w:r>
      <w:r>
        <w:t xml:space="preserve">[9]</w:t>
      </w:r>
      <w:r>
        <w:t xml:space="preserve"> </w:t>
      </w:r>
      <w:r>
        <w:t xml:space="preserve">和 Welch（1939）</w:t>
      </w:r>
      <w:r>
        <w:t xml:space="preserve">[10]</w:t>
      </w:r>
      <w:r>
        <w:t xml:space="preserve"> </w:t>
      </w:r>
      <w:r>
        <w:t xml:space="preserve">分析了获得最优判别准则的方式。</w:t>
      </w:r>
    </w:p>
    <w:p>
      <w:pPr>
        <w:pStyle w:val="BodyText"/>
      </w:pPr>
      <w:r>
        <w:t xml:space="preserve">由贝叶斯法则：</w:t>
      </w:r>
    </w:p>
    <w:p>
      <w:pPr>
        <w:pStyle w:val="BodyText"/>
      </w:pPr>
      <m:oMathPara>
        <m:oMathParaPr>
          <m:jc m:val="center"/>
        </m:oMathParaPr>
        <m:oMath>
          <m:r>
            <m:rPr>
              <m:nor/>
              <m:sty m:val="p"/>
            </m:rPr>
            <m:t>Pr</m:t>
          </m:r>
          <m:d>
            <m:dPr>
              <m:begChr m:val="["/>
              <m:endChr m:val="]"/>
              <m:grow/>
            </m:dPr>
            <m:e>
              <m:r>
                <m:t>Y</m:t>
              </m:r>
              <m:r>
                <m:t>=</m:t>
              </m:r>
              <m:sSub>
                <m:e>
                  <m:r>
                    <m:t>C</m:t>
                  </m:r>
                </m:e>
                <m:sub>
                  <m:r>
                    <m:t>ℓ</m:t>
                  </m:r>
                </m:sub>
              </m:sSub>
              <m:r>
                <m:t>|</m:t>
              </m:r>
              <m:r>
                <m:t>X</m:t>
              </m:r>
            </m:e>
          </m:d>
          <m:r>
            <m:t>=</m:t>
          </m:r>
          <m:f>
            <m:fPr>
              <m:type m:val="bar"/>
            </m:fPr>
            <m:num>
              <m:r>
                <m:rPr>
                  <m:nor/>
                  <m:sty m:val="p"/>
                </m:rPr>
                <m:t>Pr</m:t>
              </m:r>
              <m:d>
                <m:dPr>
                  <m:begChr m:val="["/>
                  <m:endChr m:val="]"/>
                  <m:grow/>
                </m:dPr>
                <m:e>
                  <m:r>
                    <m:t>Y</m:t>
                  </m:r>
                  <m:r>
                    <m:t>=</m:t>
                  </m:r>
                  <m:sSub>
                    <m:e>
                      <m:r>
                        <m:t>C</m:t>
                      </m:r>
                    </m:e>
                    <m:sub>
                      <m:r>
                        <m:t>ℓ</m:t>
                      </m:r>
                    </m:sub>
                  </m:sSub>
                </m:e>
              </m:d>
              <m:r>
                <m:rPr>
                  <m:nor/>
                  <m:sty m:val="p"/>
                </m:rPr>
                <m:t>Pr</m:t>
              </m:r>
              <m:d>
                <m:dPr>
                  <m:begChr m:val="["/>
                  <m:endChr m:val="]"/>
                  <m:grow/>
                </m:dPr>
                <m:e>
                  <m:r>
                    <m:t>X</m:t>
                  </m:r>
                  <m:r>
                    <m:t>|</m:t>
                  </m:r>
                  <m:r>
                    <m:t>Y</m:t>
                  </m:r>
                  <m:r>
                    <m:t>=</m:t>
                  </m:r>
                  <m:sSub>
                    <m:e>
                      <m:r>
                        <m:t>C</m:t>
                      </m:r>
                    </m:e>
                    <m:sub>
                      <m:r>
                        <m:t>ℓ</m:t>
                      </m:r>
                    </m:sub>
                  </m:sSub>
                </m:e>
              </m:d>
            </m:num>
            <m:den>
              <m:nary>
                <m:naryPr>
                  <m:chr m:val="∑"/>
                  <m:limLoc m:val="undOvr"/>
                  <m:subHide m:val="0"/>
                  <m:supHide m:val="0"/>
                </m:naryPr>
                <m:sub>
                  <m:r>
                    <m:t>ℓ</m:t>
                  </m:r>
                  <m:r>
                    <m:t>=</m:t>
                  </m:r>
                  <m:r>
                    <m:t>1</m:t>
                  </m:r>
                </m:sub>
                <m:sup>
                  <m:r>
                    <m:t>C</m:t>
                  </m:r>
                </m:sup>
                <m:e>
                  <m:r>
                    <m:rPr>
                      <m:nor/>
                      <m:sty m:val="p"/>
                    </m:rPr>
                    <m:t>Pr</m:t>
                  </m:r>
                </m:e>
              </m:nary>
              <m:d>
                <m:dPr>
                  <m:begChr m:val="["/>
                  <m:endChr m:val="]"/>
                  <m:grow/>
                </m:dPr>
                <m:e>
                  <m:r>
                    <m:t>Y</m:t>
                  </m:r>
                  <m:r>
                    <m:t>=</m:t>
                  </m:r>
                  <m:sSub>
                    <m:e>
                      <m:r>
                        <m:t>C</m:t>
                      </m:r>
                    </m:e>
                    <m:sub>
                      <m:r>
                        <m:t>ℓ</m:t>
                      </m:r>
                    </m:sub>
                  </m:sSub>
                </m:e>
              </m:d>
              <m:r>
                <m:rPr>
                  <m:nor/>
                  <m:sty m:val="p"/>
                </m:rPr>
                <m:t>Pr</m:t>
              </m:r>
              <m:d>
                <m:dPr>
                  <m:begChr m:val="["/>
                  <m:endChr m:val="]"/>
                  <m:grow/>
                </m:dPr>
                <m:e>
                  <m:r>
                    <m:t>X</m:t>
                  </m:r>
                  <m:r>
                    <m:t>|</m:t>
                  </m:r>
                  <m:r>
                    <m:t>Y</m:t>
                  </m:r>
                  <m:r>
                    <m:t>=</m:t>
                  </m:r>
                  <m:sSub>
                    <m:e>
                      <m:r>
                        <m:t>C</m:t>
                      </m:r>
                    </m:e>
                    <m:sub>
                      <m:r>
                        <m:t>ℓ</m:t>
                      </m:r>
                    </m:sub>
                  </m:sSub>
                </m:e>
              </m:d>
            </m:den>
          </m:f>
        </m:oMath>
      </m:oMathPara>
    </w:p>
    <w:p>
      <w:pPr>
        <w:pStyle w:val="FirstParagraph"/>
      </w:pPr>
      <w:r>
        <w:t xml:space="preserve">对于二分类问题，如果：</w:t>
      </w:r>
    </w:p>
    <w:p>
      <w:pPr>
        <w:pStyle w:val="BodyText"/>
      </w:pPr>
      <m:oMathPara>
        <m:oMathParaPr>
          <m:jc m:val="center"/>
        </m:oMathParaPr>
        <m:oMath>
          <m:r>
            <m:rPr>
              <m:nor/>
              <m:sty m:val="p"/>
            </m:rPr>
            <m:t>Pr</m:t>
          </m:r>
          <m:d>
            <m:dPr>
              <m:begChr m:val="["/>
              <m:endChr m:val="]"/>
              <m:grow/>
            </m:dPr>
            <m:e>
              <m:r>
                <m:t>Y</m:t>
              </m:r>
              <m:r>
                <m:t>=</m:t>
              </m:r>
              <m:sSub>
                <m:e>
                  <m:r>
                    <m:t>C</m:t>
                  </m:r>
                </m:e>
                <m:sub>
                  <m:r>
                    <m:t>1</m:t>
                  </m:r>
                </m:sub>
              </m:sSub>
            </m:e>
          </m:d>
          <m:r>
            <m:rPr>
              <m:nor/>
              <m:sty m:val="p"/>
            </m:rPr>
            <m:t>Pr</m:t>
          </m:r>
          <m:d>
            <m:dPr>
              <m:begChr m:val="["/>
              <m:endChr m:val="]"/>
              <m:grow/>
            </m:dPr>
            <m:e>
              <m:r>
                <m:t>X</m:t>
              </m:r>
              <m:r>
                <m:t>|</m:t>
              </m:r>
              <m:r>
                <m:t>Y</m:t>
              </m:r>
              <m:r>
                <m:t>=</m:t>
              </m:r>
              <m:sSub>
                <m:e>
                  <m:r>
                    <m:t>C</m:t>
                  </m:r>
                </m:e>
                <m:sub>
                  <m:r>
                    <m:t>1</m:t>
                  </m:r>
                </m:sub>
              </m:sSub>
            </m:e>
          </m:d>
          <m:r>
            <m:t>&gt;</m:t>
          </m:r>
          <m:r>
            <m:rPr>
              <m:nor/>
              <m:sty m:val="p"/>
            </m:rPr>
            <m:t>Pr</m:t>
          </m:r>
          <m:d>
            <m:dPr>
              <m:begChr m:val="["/>
              <m:endChr m:val="]"/>
              <m:grow/>
            </m:dPr>
            <m:e>
              <m:r>
                <m:t>Y</m:t>
              </m:r>
              <m:r>
                <m:t>=</m:t>
              </m:r>
              <m:sSub>
                <m:e>
                  <m:r>
                    <m:t>C</m:t>
                  </m:r>
                </m:e>
                <m:sub>
                  <m:r>
                    <m:t>2</m:t>
                  </m:r>
                </m:sub>
              </m:sSub>
            </m:e>
          </m:d>
          <m:r>
            <m:rPr>
              <m:nor/>
              <m:sty m:val="p"/>
            </m:rPr>
            <m:t>Pr</m:t>
          </m:r>
          <m:d>
            <m:dPr>
              <m:begChr m:val="["/>
              <m:endChr m:val="]"/>
              <m:grow/>
            </m:dPr>
            <m:e>
              <m:r>
                <m:t>X</m:t>
              </m:r>
              <m:r>
                <m:t>|</m:t>
              </m:r>
              <m:r>
                <m:t>Y</m:t>
              </m:r>
              <m:r>
                <m:t>=</m:t>
              </m:r>
              <m:sSub>
                <m:e>
                  <m:r>
                    <m:t>C</m:t>
                  </m:r>
                </m:e>
                <m:sub>
                  <m:r>
                    <m:t>2</m:t>
                  </m:r>
                </m:sub>
              </m:sSub>
            </m:e>
          </m:d>
        </m:oMath>
      </m:oMathPara>
    </w:p>
    <w:p>
      <w:pPr>
        <w:pStyle w:val="FirstParagraph"/>
      </w:pPr>
      <w:r>
        <w:t xml:space="preserve">我们就将 X 分入类别1，否则分入类别2。</w:t>
      </w:r>
    </w:p>
    <w:p>
      <w:pPr>
        <w:pStyle w:val="BodyText"/>
      </w:pPr>
      <w:r>
        <w:t xml:space="preserve">为了计算</w:t>
      </w:r>
      <w:r>
        <w:t xml:space="preserve"> </w:t>
      </w:r>
      <m:oMath>
        <m:r>
          <m:rPr>
            <m:nor/>
            <m:sty m:val="p"/>
          </m:rPr>
          <m:t>Pr</m:t>
        </m:r>
        <m:d>
          <m:dPr>
            <m:begChr m:val="["/>
            <m:endChr m:val="]"/>
            <m:grow/>
          </m:dPr>
          <m:e>
            <m:r>
              <m:t>X</m:t>
            </m:r>
            <m:r>
              <m:t>|</m:t>
            </m:r>
            <m:r>
              <m:t>Y</m:t>
            </m:r>
            <m:r>
              <m:t>=</m:t>
            </m:r>
            <m:sSub>
              <m:e>
                <m:r>
                  <m:t>C</m:t>
                </m:r>
              </m:e>
              <m:sub>
                <m:r>
                  <m:t>ℓ</m:t>
                </m:r>
              </m:sub>
            </m:sSub>
          </m:e>
        </m:d>
      </m:oMath>
      <w:r>
        <w:t xml:space="preserve">，我们假设预测变量服从多元正态分布，分布的两个参数为：多维均值向量</w:t>
      </w:r>
      <w:r>
        <w:t xml:space="preserve"> </w:t>
      </w:r>
      <m:oMath>
        <m:sSub>
          <m:e>
            <m:r>
              <m:rPr>
                <m:sty m:val="b"/>
              </m:rPr>
              <m:t>μ</m:t>
            </m:r>
          </m:e>
          <m:sub>
            <m:r>
              <m:t>ℓ</m:t>
            </m:r>
          </m:sub>
        </m:sSub>
      </m:oMath>
      <w:r>
        <w:t xml:space="preserve"> </w:t>
      </w:r>
      <w:r>
        <w:t xml:space="preserve">和协方差矩阵</w:t>
      </w:r>
      <w:r>
        <w:t xml:space="preserve"> </w:t>
      </w:r>
      <m:oMath>
        <m:sSub>
          <m:e>
            <m:r>
              <m:rPr>
                <m:sty m:val="b"/>
              </m:rPr>
              <m:t>Σ</m:t>
            </m:r>
          </m:e>
          <m:sub>
            <m:r>
              <m:t>ℓ</m:t>
            </m:r>
          </m:sub>
        </m:sSub>
      </m:oMath>
      <w:r>
        <w:t xml:space="preserve">，假设不同组的均值向量不同且协方差相同，用每一类观测样本均值</w:t>
      </w:r>
      <w:r>
        <w:t xml:space="preserve"> </w:t>
      </w:r>
      <m:oMath>
        <m:sSub>
          <m:e>
            <m:bar>
              <m:barPr>
                <m:pos m:val="top"/>
              </m:barPr>
              <m:e>
                <m:r>
                  <m:t>x</m:t>
                </m:r>
              </m:e>
            </m:bar>
          </m:e>
          <m:sub>
            <m:r>
              <m:t>ℓ</m:t>
            </m:r>
          </m:sub>
        </m:sSub>
      </m:oMath>
      <w:r>
        <w:t xml:space="preserve"> </w:t>
      </w:r>
      <w:r>
        <w:t xml:space="preserve">估计</w:t>
      </w:r>
      <w:r>
        <w:t xml:space="preserve"> </w:t>
      </w:r>
      <m:oMath>
        <m:sSub>
          <m:e>
            <m:r>
              <m:rPr>
                <m:sty m:val="b"/>
              </m:rPr>
              <m:t>μ</m:t>
            </m:r>
          </m:e>
          <m:sub>
            <m:r>
              <m:t>ℓ</m:t>
            </m:r>
          </m:sub>
        </m:sSub>
      </m:oMath>
      <w:r>
        <w:t xml:space="preserve">，用样本协方差</w:t>
      </w:r>
      <w:r>
        <w:t xml:space="preserve"> </w:t>
      </w:r>
      <m:oMath>
        <m:r>
          <m:rPr>
            <m:sty m:val="b"/>
          </m:rPr>
          <m:t>S</m:t>
        </m:r>
      </m:oMath>
      <w:r>
        <w:t xml:space="preserve"> </w:t>
      </w:r>
      <w:r>
        <w:t xml:space="preserve">估计理论协方差矩阵</w:t>
      </w:r>
      <w:r>
        <w:t xml:space="preserve"> </w:t>
      </w:r>
      <m:oMath>
        <m:r>
          <m:rPr>
            <m:sty m:val="b"/>
          </m:rPr>
          <m:t>Σ</m:t>
        </m:r>
      </m:oMath>
      <w:r>
        <w:t xml:space="preserve">，将样本观测</w:t>
      </w:r>
      <w:r>
        <w:t xml:space="preserve"> </w:t>
      </w:r>
      <m:oMath>
        <m:r>
          <m:t>μ</m:t>
        </m:r>
      </m:oMath>
      <w:r>
        <w:t xml:space="preserve"> </w:t>
      </w:r>
      <w:r>
        <w:t xml:space="preserve">代入</w:t>
      </w:r>
      <w:r>
        <w:t xml:space="preserve"> </w:t>
      </w:r>
      <m:oMath>
        <m:r>
          <m:t>X</m:t>
        </m:r>
      </m:oMath>
      <w:r>
        <w:t xml:space="preserve">，第</w:t>
      </w:r>
      <w:r>
        <w:t xml:space="preserve"> </w:t>
      </w:r>
      <m:oMath>
        <m:r>
          <m:t>ℓ</m:t>
        </m:r>
      </m:oMath>
      <w:r>
        <w:t xml:space="preserve"> </w:t>
      </w:r>
      <w:r>
        <w:t xml:space="preserve">组的线性判别函数为：</w:t>
      </w:r>
    </w:p>
    <w:p>
      <w:pPr>
        <w:pStyle w:val="BodyText"/>
      </w:pPr>
      <m:oMathPara>
        <m:oMathParaPr>
          <m:jc m:val="center"/>
        </m:oMathParaPr>
        <m:oMath>
          <m:sSup>
            <m:e>
              <m:r>
                <m:t>X</m:t>
              </m:r>
            </m:e>
            <m:sup>
              <m:r>
                <m:t>′</m:t>
              </m:r>
            </m:sup>
          </m:sSup>
          <m:sSup>
            <m:e>
              <m:r>
                <m:rPr>
                  <m:sty m:val="b"/>
                </m:rPr>
                <m:t>Σ</m:t>
              </m:r>
            </m:e>
            <m:sup>
              <m:r>
                <m:t>−</m:t>
              </m:r>
              <m:r>
                <m:t>1</m:t>
              </m:r>
            </m:sup>
          </m:sSup>
          <m:sSub>
            <m:e>
              <m:r>
                <m:rPr>
                  <m:sty m:val="b"/>
                </m:rPr>
                <m:t>μ</m:t>
              </m:r>
            </m:e>
            <m:sub>
              <m:r>
                <m:t>ℓ</m:t>
              </m:r>
            </m:sub>
          </m:sSub>
          <m:r>
            <m:t>−</m:t>
          </m:r>
          <m:r>
            <m:t>0.5</m:t>
          </m:r>
          <m:sSubSup>
            <m:e>
              <m:r>
                <m:rPr>
                  <m:sty m:val="b"/>
                </m:rPr>
                <m:t>μ</m:t>
              </m:r>
            </m:e>
            <m:sub>
              <m:r>
                <m:t>ℓ</m:t>
              </m:r>
            </m:sub>
            <m:sup>
              <m:r>
                <m:t>′</m:t>
              </m:r>
            </m:sup>
          </m:sSubSup>
          <m:sSup>
            <m:e>
              <m:r>
                <m:rPr>
                  <m:sty m:val="b"/>
                </m:rPr>
                <m:t>Σ</m:t>
              </m:r>
            </m:e>
            <m:sup>
              <m:r>
                <m:t>−</m:t>
              </m:r>
              <m:r>
                <m:t>1</m:t>
              </m:r>
            </m:sup>
          </m:sSup>
          <m:sSub>
            <m:e>
              <m:r>
                <m:rPr>
                  <m:sty m:val="b"/>
                </m:rPr>
                <m:t>μ</m:t>
              </m:r>
            </m:e>
            <m:sub>
              <m:r>
                <m:t>ℓ</m:t>
              </m:r>
            </m:sub>
          </m:sSub>
          <m:r>
            <m:t>+</m:t>
          </m:r>
          <m:r>
            <m:rPr>
              <m:nor/>
              <m:sty m:val="p"/>
            </m:rPr>
            <m:t>log</m:t>
          </m:r>
          <m:d>
            <m:dPr>
              <m:begChr m:val="("/>
              <m:endChr m:val=")"/>
              <m:grow/>
            </m:dPr>
            <m:e>
              <m:r>
                <m:rPr>
                  <m:nor/>
                  <m:sty m:val="p"/>
                </m:rPr>
                <m:t>Pr</m:t>
              </m:r>
              <m:d>
                <m:dPr>
                  <m:begChr m:val="["/>
                  <m:endChr m:val="]"/>
                  <m:grow/>
                </m:dPr>
                <m:e>
                  <m:r>
                    <m:t>Y</m:t>
                  </m:r>
                  <m:r>
                    <m:t>=</m:t>
                  </m:r>
                  <m:sSub>
                    <m:e>
                      <m:r>
                        <m:t>C</m:t>
                      </m:r>
                    </m:e>
                    <m:sub>
                      <m:r>
                        <m:t>ℓ</m:t>
                      </m:r>
                    </m:sub>
                  </m:sSub>
                </m:e>
              </m:d>
            </m:e>
          </m:d>
        </m:oMath>
      </m:oMathPara>
    </w:p>
    <w:p>
      <w:pPr>
        <w:pStyle w:val="FirstParagraph"/>
      </w:pPr>
      <w:r>
        <w:t xml:space="preserve">由于我们的分类只有两类，所以只有一个判别向量，不需要优化判别向量的数目，即不需要模型调优，计算速度较快。</w:t>
      </w:r>
    </w:p>
    <w:p>
      <w:pPr>
        <w:pStyle w:val="BodyText"/>
      </w:pPr>
      <w:r>
        <w:t xml:space="preserve">当我们仔细观察线性判别函数时,我们会发现 Fisher 的线性判别方法有两点缺陷：</w:t>
      </w:r>
    </w:p>
    <w:p>
      <w:pPr>
        <w:numPr>
          <w:numId w:val="1009"/>
          <w:ilvl w:val="0"/>
        </w:numPr>
      </w:pPr>
      <w:r>
        <w:t xml:space="preserve">而且，由于线性判别分析的数学构造，随着预测变量数目的增加，预测的类别概率越来越接近0和1。这意味这，在我们的数据集下，由于变量较多，如前文所述的调整概率阈值的方法可能有效性会降低。这在单纯分类</w:t>
      </w:r>
      <w:r>
        <w:rPr>
          <w:b/>
        </w:rPr>
        <w:t xml:space="preserve">在职倾向</w:t>
      </w:r>
      <w:r>
        <w:t xml:space="preserve">和</w:t>
      </w:r>
      <w:r>
        <w:rPr>
          <w:b/>
        </w:rPr>
        <w:t xml:space="preserve">离职倾向</w:t>
      </w:r>
      <w:r>
        <w:t xml:space="preserve">的员工时可能并不是问题，但在需要进一步平衡灵敏度和特异度以达到更好效果时将很难进行。</w:t>
      </w:r>
    </w:p>
    <w:p>
      <w:pPr>
        <w:numPr>
          <w:numId w:val="1009"/>
          <w:ilvl w:val="0"/>
        </w:numPr>
      </w:pPr>
      <w:r>
        <w:t xml:space="preserve">由于线性判别分析的结果取决于协方差矩阵的逆，且只有当这个矩阵可逆时才存在唯一解。这意味着样本量要大于变量个数</w:t>
      </w:r>
      <w:r>
        <w:rPr>
          <w:rStyle w:val="FootnoteReference"/>
        </w:rPr>
        <w:footnoteReference w:id="55"/>
      </w:r>
      <w:r>
        <w:t xml:space="preserve">，且变量必须尽量相互独立。而在我们的数据集中，变量之间有很强的多重共线性，这在一定程度上会降低预测的准确性。</w:t>
      </w:r>
    </w:p>
    <w:p>
      <w:pPr>
        <w:pStyle w:val="CaptionedFigure"/>
      </w:pPr>
      <w:r>
        <w:drawing>
          <wp:inline>
            <wp:extent cx="5334000" cy="4267200"/>
            <wp:effectExtent b="0" l="0" r="0" t="0"/>
            <wp:docPr descr="在重抽样下 LDA 模型的准确率分布" title="" id="1" name="Picture"/>
            <a:graphic>
              <a:graphicData uri="http://schemas.openxmlformats.org/drawingml/2006/picture">
                <pic:pic>
                  <pic:nvPicPr>
                    <pic:cNvPr descr="main_files/figure-docx/unnamed-chunk-20-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LDA 模型的准确率分布</w:t>
      </w:r>
    </w:p>
    <w:p>
      <w:pPr>
        <w:pStyle w:val="Heading2"/>
      </w:pPr>
      <w:bookmarkStart w:id="57" w:name="偏最小二乘判别分析plsda"/>
      <w:r>
        <w:t xml:space="preserve">偏最小二乘判别分析（PLSDA）</w:t>
      </w:r>
      <w:bookmarkEnd w:id="57"/>
    </w:p>
    <w:p>
      <w:pPr>
        <w:pStyle w:val="FirstParagraph"/>
      </w:pPr>
      <w:r>
        <w:t xml:space="preserve">由于 LDA 不太适合多重共线性的变量，我们可以试着使用主成分分析压缩变量空间的维度，但 PCA 可能无法识别能将样本分类的较好变量组合，且由于没有涉及被解释变量的分类信息（无监督），很难通过 PCA 找到一个最优化的分类预测。</w:t>
      </w:r>
    </w:p>
    <w:p>
      <w:pPr>
        <w:pStyle w:val="BodyText"/>
      </w:pPr>
      <w:r>
        <w:t xml:space="preserve">所以，我们使用偏最小二乘判别分析来进行分类。Berntsson 和 Wold（1986）</w:t>
      </w:r>
      <w:r>
        <w:t xml:space="preserve"> </w:t>
      </w:r>
      <w:r>
        <w:t xml:space="preserve">[11]</w:t>
      </w:r>
      <w:r>
        <w:t xml:space="preserve"> </w:t>
      </w:r>
      <w:r>
        <w:t xml:space="preserve">将偏最小二乘应用在了问题中，起名为偏最小二乘判别分析（PLSDA）。尽管 Liu 和 Rayens（2007）</w:t>
      </w:r>
      <w:r>
        <w:t xml:space="preserve"> </w:t>
      </w:r>
      <w:r>
        <w:t xml:space="preserve">[12]</w:t>
      </w:r>
      <w:r>
        <w:t xml:space="preserve"> </w:t>
      </w:r>
      <w:r>
        <w:t xml:space="preserve">指出，在降维非必须且建模目的时分类的时候，LDA 一定优于 PLS，但我们希望在降维之后，PLS 的表现能超过 LDA。</w:t>
      </w:r>
    </w:p>
    <w:p>
      <w:pPr>
        <w:pStyle w:val="BodyText"/>
      </w:pPr>
      <w:r>
        <w:t xml:space="preserve">我们只使用前十个 PLS 成分</w:t>
      </w:r>
    </w:p>
    <w:p>
      <w:pPr>
        <w:pStyle w:val="BodyText"/>
      </w:pPr>
      <w:r>
        <w:drawing>
          <wp:inline>
            <wp:extent cx="5334000" cy="4267200"/>
            <wp:effectExtent b="0" l="0" r="0" t="0"/>
            <wp:docPr descr="Kappa 指标和准确率随主成分个数的变化" title="" id="1" name="Picture"/>
            <a:graphic>
              <a:graphicData uri="http://schemas.openxmlformats.org/drawingml/2006/picture">
                <pic:pic>
                  <pic:nvPicPr>
                    <pic:cNvPr descr="main_files/figure-docx/unnamed-chunk-23-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Kappa 指标和准确率随主成分个数的变化" title="" id="1" name="Picture"/>
            <a:graphic>
              <a:graphicData uri="http://schemas.openxmlformats.org/drawingml/2006/picture">
                <pic:pic>
                  <pic:nvPicPr>
                    <pic:cNvPr descr="main_files/figure-docx/unnamed-chunk-23-2.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我们可以看到 Kappa 指标随主成分个数的增多而先上升，后有所下降；准确率指标随着主成分个数的增加而先下降、后上升到顶峰、再下降。可见，在此模型中，选取前 8 个主成分不管是 Kappa 还是准确率指标都是最佳状态。</w:t>
      </w:r>
    </w:p>
    <w:p>
      <w:pPr>
        <w:pStyle w:val="CaptionedFigure"/>
      </w:pPr>
      <w:r>
        <w:drawing>
          <wp:inline>
            <wp:extent cx="5334000" cy="4267200"/>
            <wp:effectExtent b="0" l="0" r="0" t="0"/>
            <wp:docPr descr="变量重要程度" title="" id="1" name="Picture"/>
            <a:graphic>
              <a:graphicData uri="http://schemas.openxmlformats.org/drawingml/2006/picture">
                <pic:pic>
                  <pic:nvPicPr>
                    <pic:cNvPr descr="main_files/figure-docx/unnamed-chunk-24-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变量重要程度</w:t>
      </w:r>
    </w:p>
    <w:p>
      <w:pPr>
        <w:pStyle w:val="BodyText"/>
      </w:pPr>
      <w:r>
        <w:t xml:space="preserve">我们将变量按照其在 PLSDA 模型中的重要性进行排序：排在前三名的是</w:t>
      </w:r>
      <w:r>
        <w:t xml:space="preserve">“</w:t>
      </w:r>
      <w:r>
        <w:t xml:space="preserve">婚姻状况中的独居</w:t>
      </w:r>
      <w:r>
        <w:t xml:space="preserve">”</w:t>
      </w:r>
      <w:r>
        <w:t xml:space="preserve">、</w:t>
      </w:r>
      <w:r>
        <w:t xml:space="preserve">“</w:t>
      </w:r>
      <w:r>
        <w:t xml:space="preserve">绩效表现中的较差一类</w:t>
      </w:r>
      <w:r>
        <w:t xml:space="preserve">”</w:t>
      </w:r>
      <w:r>
        <w:t xml:space="preserve">和</w:t>
      </w:r>
      <w:r>
        <w:t xml:space="preserve">“</w:t>
      </w:r>
      <w:r>
        <w:t xml:space="preserve">婚姻状况中的已婚</w:t>
      </w:r>
      <w:r>
        <w:t xml:space="preserve">”</w:t>
      </w:r>
      <w:r>
        <w:t xml:space="preserve">。这三个变量对于不同部门、不同工作内容、不同工作地位的员工具有较强的普适性。属于对员工个人的刻画，对于预测员工是否离职较为重要。</w:t>
      </w:r>
    </w:p>
    <w:p>
      <w:pPr>
        <w:pStyle w:val="BodyText"/>
      </w:pPr>
      <w:r>
        <w:t xml:space="preserve">而重要程度最低的三个变量分别是</w:t>
      </w:r>
      <w:r>
        <w:t xml:space="preserve">“</w:t>
      </w:r>
      <w:r>
        <w:t xml:space="preserve">薪资水平</w:t>
      </w:r>
      <w:r>
        <w:t xml:space="preserve">”</w:t>
      </w:r>
      <w:r>
        <w:t xml:space="preserve">、</w:t>
      </w:r>
      <w:r>
        <w:t xml:space="preserve">“</w:t>
      </w:r>
      <w:r>
        <w:t xml:space="preserve">完成项目的数量</w:t>
      </w:r>
      <w:r>
        <w:t xml:space="preserve">”</w:t>
      </w:r>
      <w:r>
        <w:t xml:space="preserve">和</w:t>
      </w:r>
      <w:r>
        <w:t xml:space="preserve">“</w:t>
      </w:r>
      <w:r>
        <w:t xml:space="preserve">是否在IT/IS部门</w:t>
      </w:r>
      <w:r>
        <w:t xml:space="preserve">”</w:t>
      </w:r>
      <w:r>
        <w:t xml:space="preserve">。这三个变量与员工个人的性格、工作能力、家庭关系较小，属于对工作分类的刻画，对于预测员工是否离职的重要性较低。</w:t>
      </w:r>
    </w:p>
    <w:p>
      <w:pPr>
        <w:pStyle w:val="Heading2"/>
      </w:pPr>
      <w:bookmarkStart w:id="61" w:name="svm"/>
      <w:r>
        <w:t xml:space="preserve">SVM</w:t>
      </w:r>
      <w:bookmarkEnd w:id="61"/>
    </w:p>
    <w:p>
      <w:pPr>
        <w:pStyle w:val="FirstParagraph"/>
      </w:pPr>
      <w:r>
        <w:t xml:space="preserve">Logit、LDA、PLSDA 本质上都是线性模型，即模型结构产生线性类边界，这一类模型的优点是不太会受到无信息变量的干扰。然而，在我们的数据中，并没有存在大量无信息变量的情况，所以我们考虑使用非线性模型进行训练。</w:t>
      </w:r>
    </w:p>
    <w:p>
      <w:pPr>
        <w:pStyle w:val="BodyText"/>
      </w:pP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main_files/figure-docx/unnamed-chunk-27-2.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在损失参数增大的同时，准确率指标与 Kappa 指标的变化趋势相反，准确率有所降低而 Kappa 有所上升。</w:t>
      </w:r>
    </w:p>
    <w:p>
      <w:pPr>
        <w:pStyle w:val="Heading2"/>
      </w:pPr>
      <w:bookmarkStart w:id="64" w:name="随机梯度助推法gbm"/>
      <w:r>
        <w:t xml:space="preserve">随机梯度助推法（GBM）</w:t>
      </w:r>
      <w:bookmarkEnd w:id="64"/>
    </w:p>
    <w:p>
      <w:pPr>
        <w:pStyle w:val="FirstParagraph"/>
      </w:pPr>
      <w:r>
        <w:t xml:space="preserve">第三类被广泛应用的模型是分类树与基于规则的模型，在此，我们使用助推法这种树结构与规则的融合方法。</w:t>
      </w:r>
    </w:p>
    <w:p>
      <w:pPr>
        <w:pStyle w:val="BodyText"/>
      </w:pPr>
      <w:r>
        <w:t xml:space="preserve">Friedman等（2000）</w:t>
      </w:r>
      <w:r>
        <w:t xml:space="preserve"> </w:t>
      </w:r>
      <w:r>
        <w:t xml:space="preserve">[13]</w:t>
      </w:r>
      <w:r>
        <w:t xml:space="preserve"> </w:t>
      </w:r>
      <w:r>
        <w:t xml:space="preserve">发现分类问题可以当作是正向分布可加模型，通过最小化指数损失函数实现分类。</w:t>
      </w:r>
    </w:p>
    <w:p>
      <w:pPr>
        <w:pStyle w:val="BodyText"/>
      </w:pPr>
      <w:r>
        <w:t xml:space="preserve">首先我们设定样本预测初始值为对数发生：</w:t>
      </w:r>
    </w:p>
    <w:p>
      <w:pPr>
        <w:pStyle w:val="BodyText"/>
      </w:pPr>
      <m:oMathPara>
        <m:oMathParaPr>
          <m:jc m:val="center"/>
        </m:oMathParaPr>
        <m:oMath>
          <m:sSubSup>
            <m:e>
              <m:r>
                <m:t>f</m:t>
              </m:r>
            </m:e>
            <m:sub>
              <m:r>
                <m:t>i</m:t>
              </m:r>
            </m:sub>
            <m:sup>
              <m:r>
                <m:t>(</m:t>
              </m:r>
              <m:r>
                <m:t>0</m:t>
              </m:r>
              <m:r>
                <m:t>)</m:t>
              </m:r>
            </m:sup>
          </m:sSubSup>
          <m:r>
            <m:t>=</m:t>
          </m:r>
          <m:r>
            <m:rPr>
              <m:nor/>
              <m:sty m:val="p"/>
            </m:rPr>
            <m:t>log</m:t>
          </m:r>
          <m:f>
            <m:fPr>
              <m:type m:val="bar"/>
            </m:fPr>
            <m:num>
              <m:acc>
                <m:accPr>
                  <m:chr m:val="̂"/>
                </m:accPr>
                <m:e>
                  <m:r>
                    <m:t>p</m:t>
                  </m:r>
                </m:e>
              </m:acc>
            </m:num>
            <m:den>
              <m:r>
                <m:t>1</m:t>
              </m:r>
              <m:r>
                <m:t>−</m:t>
              </m:r>
              <m:acc>
                <m:accPr>
                  <m:chr m:val="̂"/>
                </m:accPr>
                <m:e>
                  <m:r>
                    <m:t>p</m:t>
                  </m:r>
                </m:e>
              </m:acc>
            </m:den>
          </m:f>
        </m:oMath>
      </m:oMathPara>
    </w:p>
    <w:p>
      <w:pPr>
        <w:pStyle w:val="FirstParagraph"/>
      </w:pPr>
      <w:r>
        <w:t xml:space="preserve">其中，</w:t>
      </w:r>
      <m:oMath>
        <m:r>
          <m:t>f</m:t>
        </m:r>
        <m:r>
          <m:t>(</m:t>
        </m:r>
        <m:r>
          <m:t>x</m:t>
        </m:r>
        <m:r>
          <m:t>)</m:t>
        </m:r>
      </m:oMath>
      <w:r>
        <w:t xml:space="preserve"> </w:t>
      </w:r>
      <w:r>
        <w:t xml:space="preserve">是模型的预测值，</w:t>
      </w:r>
      <m:oMath>
        <m:sSub>
          <m:e>
            <m:acc>
              <m:accPr>
                <m:chr m:val="̂"/>
              </m:accPr>
              <m:e>
                <m:r>
                  <m:t>p</m:t>
                </m:r>
              </m:e>
            </m:acc>
          </m:e>
          <m:sub>
            <m:r>
              <m:t>i</m:t>
            </m:r>
          </m:sub>
        </m:sSub>
        <m:r>
          <m:t>=</m:t>
        </m:r>
        <m:f>
          <m:fPr>
            <m:type m:val="bar"/>
          </m:fPr>
          <m:num>
            <m:r>
              <m:t>1</m:t>
            </m:r>
          </m:num>
          <m:den>
            <m:r>
              <m:t>1</m:t>
            </m:r>
            <m:r>
              <m:t>+</m:t>
            </m:r>
            <m:r>
              <m:rPr>
                <m:nor/>
                <m:sty m:val="p"/>
              </m:rPr>
              <m:t>exp</m:t>
            </m:r>
            <m:r>
              <m:t>[</m:t>
            </m:r>
            <m:r>
              <m:t>−</m:t>
            </m:r>
            <m:r>
              <m:t>f</m:t>
            </m:r>
            <m:r>
              <m:t>(</m:t>
            </m:r>
            <m:r>
              <m:t>x</m:t>
            </m:r>
            <m:r>
              <m:t>)</m:t>
            </m:r>
            <m:r>
              <m:t>]</m:t>
            </m:r>
          </m:den>
        </m:f>
      </m:oMath>
    </w:p>
    <w:p>
      <w:pPr>
        <w:pStyle w:val="BodyText"/>
      </w:pPr>
      <w:r>
        <w:t xml:space="preserve">接着从</w:t>
      </w:r>
      <w:r>
        <w:t xml:space="preserve"> </w:t>
      </w:r>
      <m:oMath>
        <m:r>
          <m:t>j</m:t>
        </m:r>
        <m:r>
          <m:t>=</m:t>
        </m:r>
        <m:r>
          <m:t>1</m:t>
        </m:r>
      </m:oMath>
      <w:r>
        <w:t xml:space="preserve"> </w:t>
      </w:r>
      <w:r>
        <w:t xml:space="preserve">开始进行迭代：</w:t>
      </w:r>
    </w:p>
    <w:p>
      <w:pPr>
        <w:pStyle w:val="Compact"/>
        <w:numPr>
          <w:numId w:val="1010"/>
          <w:ilvl w:val="0"/>
        </w:numPr>
      </w:pPr>
      <w:r>
        <w:t xml:space="preserve">计算梯度</w:t>
      </w:r>
      <w:r>
        <w:t xml:space="preserve"> </w:t>
      </w:r>
      <m:oMath>
        <m:sSub>
          <m:e>
            <m:r>
              <m:t>z</m:t>
            </m:r>
          </m:e>
          <m:sub>
            <m:r>
              <m:t>i</m:t>
            </m:r>
          </m:sub>
        </m:sSub>
        <m:r>
          <m:t>=</m:t>
        </m:r>
        <m:sSub>
          <m:e>
            <m:r>
              <m:t>y</m:t>
            </m:r>
          </m:e>
          <m:sub>
            <m:r>
              <m:t>i</m:t>
            </m:r>
          </m:sub>
        </m:sSub>
        <m:r>
          <m:t>−</m:t>
        </m:r>
        <m:sSub>
          <m:e>
            <m:acc>
              <m:accPr>
                <m:chr m:val="̂"/>
              </m:accPr>
              <m:e>
                <m:r>
                  <m:t>p</m:t>
                </m:r>
              </m:e>
            </m:acc>
          </m:e>
          <m:sub>
            <m:r>
              <m:t>i</m:t>
            </m:r>
          </m:sub>
        </m:sSub>
      </m:oMath>
    </w:p>
    <w:p>
      <w:pPr>
        <w:pStyle w:val="Compact"/>
        <w:numPr>
          <w:numId w:val="1010"/>
          <w:ilvl w:val="0"/>
        </w:numPr>
      </w:pPr>
      <w:r>
        <w:t xml:space="preserve">对训练集随机抽样</w:t>
      </w:r>
    </w:p>
    <w:p>
      <w:pPr>
        <w:pStyle w:val="Compact"/>
        <w:numPr>
          <w:numId w:val="1010"/>
          <w:ilvl w:val="0"/>
        </w:numPr>
      </w:pPr>
      <w:r>
        <w:t xml:space="preserve">基于子样本，用之前得到的残差作为结果变量训练树模型</w:t>
      </w:r>
    </w:p>
    <w:p>
      <w:pPr>
        <w:pStyle w:val="Compact"/>
        <w:numPr>
          <w:numId w:val="1010"/>
          <w:ilvl w:val="0"/>
        </w:numPr>
      </w:pPr>
      <w:r>
        <w:t xml:space="preserve">计算终结点 Pearson 残差的估计</w:t>
      </w:r>
      <w:r>
        <w:t xml:space="preserve"> </w:t>
      </w:r>
      <m:oMath>
        <m:sSub>
          <m:e>
            <m:r>
              <m:t>r</m:t>
            </m:r>
          </m:e>
          <m:sub>
            <m:r>
              <m:t>i</m:t>
            </m:r>
          </m:sub>
        </m:sSub>
        <m:r>
          <m:t>=</m:t>
        </m:r>
        <m:f>
          <m:fPr>
            <m:type m:val="bar"/>
          </m:fPr>
          <m:num>
            <m:r>
              <m:t>1</m:t>
            </m:r>
            <m:r>
              <m:t>/</m:t>
            </m:r>
            <m:r>
              <m:t>n</m:t>
            </m:r>
            <m:nary>
              <m:naryPr>
                <m:chr m:val="∑"/>
                <m:limLoc m:val="undOvr"/>
                <m:subHide m:val="0"/>
                <m:supHide m:val="0"/>
              </m:naryPr>
              <m:sub>
                <m:r>
                  <m:t>i</m:t>
                </m:r>
              </m:sub>
              <m:sup>
                <m:r>
                  <m:t>n</m:t>
                </m:r>
              </m:sup>
              <m:e>
                <m:d>
                  <m:dPr>
                    <m:begChr m:val="("/>
                    <m:endChr m:val=")"/>
                    <m:grow/>
                  </m:dPr>
                  <m:e>
                    <m:sSub>
                      <m:e>
                        <m:r>
                          <m:t>y</m:t>
                        </m:r>
                      </m:e>
                      <m:sub>
                        <m:r>
                          <m:t>i</m:t>
                        </m:r>
                      </m:sub>
                    </m:sSub>
                    <m:r>
                      <m:t>−</m:t>
                    </m:r>
                    <m:sSub>
                      <m:e>
                        <m:acc>
                          <m:accPr>
                            <m:chr m:val="̂"/>
                          </m:accPr>
                          <m:e>
                            <m:r>
                              <m:t>p</m:t>
                            </m:r>
                          </m:e>
                        </m:acc>
                      </m:e>
                      <m:sub>
                        <m:r>
                          <m:t>i</m:t>
                        </m:r>
                      </m:sub>
                    </m:sSub>
                  </m:e>
                </m:d>
              </m:e>
            </m:nary>
          </m:num>
          <m:den>
            <m:r>
              <m:t>1</m:t>
            </m:r>
            <m:r>
              <m:t>/</m:t>
            </m:r>
            <m:r>
              <m:t>n</m:t>
            </m:r>
            <m:nary>
              <m:naryPr>
                <m:chr m:val="∑"/>
                <m:limLoc m:val="undOvr"/>
                <m:subHide m:val="0"/>
                <m:supHide m:val="0"/>
              </m:naryPr>
              <m:sub>
                <m:r>
                  <m:t>i</m:t>
                </m:r>
              </m:sub>
              <m:sup>
                <m:r>
                  <m:t>n</m:t>
                </m:r>
              </m:sup>
              <m:e>
                <m:sSub>
                  <m:e>
                    <m:acc>
                      <m:accPr>
                        <m:chr m:val="̂"/>
                      </m:accPr>
                      <m:e>
                        <m:r>
                          <m:t>p</m:t>
                        </m:r>
                      </m:e>
                    </m:acc>
                  </m:e>
                  <m:sub>
                    <m:r>
                      <m:t>i</m:t>
                    </m:r>
                  </m:sub>
                </m:sSub>
              </m:e>
            </m:nary>
            <m:d>
              <m:dPr>
                <m:begChr m:val="("/>
                <m:endChr m:val=")"/>
                <m:grow/>
              </m:dPr>
              <m:e>
                <m:r>
                  <m:t>1</m:t>
                </m:r>
                <m:r>
                  <m:t>−</m:t>
                </m:r>
                <m:sSub>
                  <m:e>
                    <m:acc>
                      <m:accPr>
                        <m:chr m:val="̂"/>
                      </m:accPr>
                      <m:e>
                        <m:r>
                          <m:t>p</m:t>
                        </m:r>
                      </m:e>
                    </m:acc>
                  </m:e>
                  <m:sub>
                    <m:r>
                      <m:t>i</m:t>
                    </m:r>
                  </m:sub>
                </m:sSub>
              </m:e>
            </m:d>
          </m:den>
        </m:f>
      </m:oMath>
    </w:p>
    <w:p>
      <w:pPr>
        <w:pStyle w:val="Compact"/>
        <w:numPr>
          <w:numId w:val="1010"/>
          <w:ilvl w:val="0"/>
        </w:numPr>
      </w:pPr>
      <w:r>
        <w:t xml:space="preserve">更新当前模型</w:t>
      </w:r>
      <w:r>
        <w:t xml:space="preserve"> </w:t>
      </w:r>
      <m:oMath>
        <m:sSub>
          <m:e>
            <m:r>
              <m:t>f</m:t>
            </m:r>
          </m:e>
          <m:sub>
            <m:r>
              <m:t>1</m:t>
            </m:r>
          </m:sub>
        </m:sSub>
        <m:r>
          <m:t>=</m:t>
        </m:r>
        <m:sSub>
          <m:e>
            <m:r>
              <m:t>f</m:t>
            </m:r>
          </m:e>
          <m:sub>
            <m:r>
              <m:t>i</m:t>
            </m:r>
          </m:sub>
        </m:sSub>
        <m:r>
          <m:t>+</m:t>
        </m:r>
        <m:r>
          <m:t>λ</m:t>
        </m:r>
        <m:sSubSup>
          <m:e>
            <m:r>
              <m:t>f</m:t>
            </m:r>
          </m:e>
          <m:sub>
            <m:r>
              <m:t>i</m:t>
            </m:r>
          </m:sub>
          <m:sup>
            <m:r>
              <m:t>(</m:t>
            </m:r>
            <m:r>
              <m:t>j</m:t>
            </m:r>
            <m:r>
              <m:t>)</m:t>
            </m:r>
          </m:sup>
        </m:sSubSup>
      </m:oMath>
    </w:p>
    <w:p>
      <w:pPr>
        <w:pStyle w:val="FirstParagraph"/>
      </w:pP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main_files/figure-docx/unnamed-chunk-30-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main_files/figure-docx/unnamed-chunk-30-2.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助推树的加深和迭代次数的增多一般引起 Kappa 指标的上升，随着迭代次数的增加，准确率变动先下降后上升。</w:t>
      </w:r>
    </w:p>
    <w:p>
      <w:pPr>
        <w:pStyle w:val="CaptionedFigure"/>
      </w:pPr>
      <w:r>
        <w:drawing>
          <wp:inline>
            <wp:extent cx="5334000" cy="4267200"/>
            <wp:effectExtent b="0" l="0" r="0" t="0"/>
            <wp:docPr descr="在重抽样下 GBM 模型的准确率分布" title="" id="1" name="Picture"/>
            <a:graphic>
              <a:graphicData uri="http://schemas.openxmlformats.org/drawingml/2006/picture">
                <pic:pic>
                  <pic:nvPicPr>
                    <pic:cNvPr descr="main_files/figure-docx/unnamed-chunk-31-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GBM 模型的准确率分布</w:t>
      </w:r>
    </w:p>
    <w:p>
      <w:pPr>
        <w:pStyle w:val="Heading2"/>
      </w:pPr>
      <w:bookmarkStart w:id="68" w:name="模型间的比较"/>
      <w:r>
        <w:t xml:space="preserve">模型间的比较</w:t>
      </w:r>
      <w:bookmarkEnd w:id="68"/>
    </w:p>
    <w:p>
      <w:pPr>
        <w:pStyle w:val="FirstParagraph"/>
      </w:pPr>
      <w:r>
        <w:t xml:space="preserve">我们对训练的4个不同的模型进行比较，所有模型都使用相同的重抽样方法估计各自的模型表现。且由于设置的随机数种子相同，故不同模型使用的重抽样样本完全一致。</w:t>
      </w:r>
      <w:r>
        <w:rPr>
          <w:rStyle w:val="FootnoteReference"/>
        </w:rPr>
        <w:footnoteReference w:id="69"/>
      </w:r>
    </w:p>
    <w:p>
      <w:pPr>
        <w:pStyle w:val="CaptionedFigure"/>
      </w:pPr>
      <w:r>
        <w:drawing>
          <wp:inline>
            <wp:extent cx="5334000" cy="2667000"/>
            <wp:effectExtent b="0" l="0" r="0" t="0"/>
            <wp:docPr descr="模型间 Kappa 的比较（0.95 置信区间）" title="" id="1" name="Picture"/>
            <a:graphic>
              <a:graphicData uri="http://schemas.openxmlformats.org/drawingml/2006/picture">
                <pic:pic>
                  <pic:nvPicPr>
                    <pic:cNvPr descr="main_files/figure-docx/unnamed-chunk-33-1.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模型间 Kappa 的比较（0.95 置信区间）</w:t>
      </w:r>
    </w:p>
    <w:p>
      <w:pPr>
        <w:pStyle w:val="CaptionedFigure"/>
      </w:pPr>
      <w:r>
        <w:drawing>
          <wp:inline>
            <wp:extent cx="5334000" cy="2667000"/>
            <wp:effectExtent b="0" l="0" r="0" t="0"/>
            <wp:docPr descr="模型间准确率的比较（0.95 置信区间）" title="" id="1" name="Picture"/>
            <a:graphic>
              <a:graphicData uri="http://schemas.openxmlformats.org/drawingml/2006/picture">
                <pic:pic>
                  <pic:nvPicPr>
                    <pic:cNvPr descr="main_files/figure-docx/unnamed-chunk-34-1.png" id="0"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模型间准确率的比较（0.95 置信区间）</w:t>
      </w:r>
    </w:p>
    <w:p>
      <w:pPr>
        <w:pStyle w:val="BodyText"/>
      </w:pPr>
      <w:r>
        <w:t xml:space="preserve">在</w:t>
      </w:r>
      <w:r>
        <w:rPr>
          <w:b/>
        </w:rPr>
        <w:t xml:space="preserve">Kappa</w:t>
      </w:r>
      <w:r>
        <w:t xml:space="preserve">这一效果衡量指标下，PLSDA 有着最好的效果，LDA 和 Logit 模型次之，GBM 模型远差于前面 3 个模型。</w:t>
      </w:r>
    </w:p>
    <w:p>
      <w:pPr>
        <w:pStyle w:val="BodyText"/>
      </w:pPr>
      <w:r>
        <w:t xml:space="preserve">在</w:t>
      </w:r>
      <w:r>
        <w:rPr>
          <w:b/>
        </w:rPr>
        <w:t xml:space="preserve">准确率</w:t>
      </w:r>
      <w:r>
        <w:t xml:space="preserve">这一效果衡量指标下，从偏差的角度来看，PLSDA 有着最好的效果，SVM 模型次之；从方差的角度来看，SVM 模型具有明显较小的方差。</w:t>
      </w:r>
    </w:p>
    <w:p>
      <w:r>
        <w:br w:type="page"/>
      </w:r>
    </w:p>
    <w:p>
      <w:pPr>
        <w:pStyle w:val="Heading1"/>
      </w:pPr>
      <w:bookmarkStart w:id="72" w:name="结论"/>
      <w:r>
        <w:t xml:space="preserve">结论</w:t>
      </w:r>
      <w:bookmarkEnd w:id="72"/>
    </w:p>
    <w:p>
      <w:pPr>
        <w:pStyle w:val="FirstParagraph"/>
      </w:pPr>
      <w:r>
        <w:t xml:space="preserve">在此研究中，我们主要研究了企业</w:t>
      </w:r>
      <w:r>
        <w:rPr>
          <w:b/>
        </w:rPr>
        <w:t xml:space="preserve">员工的离职预测问题</w:t>
      </w:r>
      <w:r>
        <w:t xml:space="preserve">。我们通过这个研究一个案例，所得出的该企业结论员工离职情况，对整个人力市场有一定的启发性。</w:t>
      </w:r>
    </w:p>
    <w:p>
      <w:pPr>
        <w:pStyle w:val="BodyText"/>
      </w:pPr>
      <w:r>
        <w:t xml:space="preserve">于此同时，我们研究此案例的方法具有较好的普适性。对于此研究建立的多种预测离职预测模型，完全可以在其它企业中适当地调整后加以应用。</w:t>
      </w:r>
    </w:p>
    <w:p>
      <w:pPr>
        <w:pStyle w:val="BodyText"/>
      </w:pPr>
      <w:r>
        <w:t xml:space="preserve">同时该研究的受益者不仅仅是企业，就业市场服务中心、社会科学研究在涉及到人力资源流动时，均可参考这些模型和方法，对人力资源的流动进行方向上和比例上的评估和监测，为商业服务、政策制定提供解决方案。</w:t>
      </w:r>
    </w:p>
    <w:p>
      <w:pPr>
        <w:pStyle w:val="Heading2"/>
      </w:pPr>
      <w:bookmarkStart w:id="73" w:name="变量解释"/>
      <w:r>
        <w:t xml:space="preserve">变量解释</w:t>
      </w:r>
      <w:bookmarkEnd w:id="73"/>
    </w:p>
    <w:p>
      <w:pPr>
        <w:pStyle w:val="FirstParagraph"/>
      </w:pPr>
      <w:r>
        <w:t xml:space="preserve">在我们的案例研究中，众多的变量中有一些变量是在统计学上显著的。</w:t>
      </w:r>
      <w:r>
        <w:rPr>
          <w:rStyle w:val="FootnoteReference"/>
        </w:rPr>
        <w:footnoteReference w:id="74"/>
      </w:r>
    </w:p>
    <w:p>
      <w:pPr>
        <w:pStyle w:val="Compact"/>
        <w:numPr>
          <w:numId w:val="1011"/>
          <w:ilvl w:val="0"/>
        </w:numPr>
      </w:pPr>
      <w:r>
        <w:t xml:space="preserve">分居者和单身者的离职概率都显著较低，由职业生涯理论，这可能与他们在经济上的独立性有关。分居者和单身者相比结婚合居者，在经济上不太依赖他人，有稳定的收入对他们来说更为重要，离职率自然较低一些。</w:t>
      </w:r>
    </w:p>
    <w:p>
      <w:pPr>
        <w:pStyle w:val="Compact"/>
        <w:numPr>
          <w:numId w:val="1011"/>
          <w:ilvl w:val="0"/>
        </w:numPr>
      </w:pPr>
      <w:r>
        <w:t xml:space="preserve">绩效表现较差的员工离职概率也较高。由双因素理论</w:t>
      </w:r>
      <w:r>
        <w:rPr>
          <w:rStyle w:val="FootnoteReference"/>
        </w:rPr>
        <w:footnoteReference w:id="75"/>
      </w:r>
      <w:r>
        <w:t xml:space="preserve"> </w:t>
      </w:r>
      <w:r>
        <w:t xml:space="preserve">员工对不满意因素的心理感受强于激励因素，容易引发主动离职。而绩效评定较差的原因，这一方面可能是由于员工自身品质不佳或能力不足造成的不胜任岗位；另一方面也可能是员工与企业的文化不契合，对于工作内容或是上级不适应不喜欢；还有可能是企业处于末位淘汰制度或是效益不好，而对员工进行主动辞退的操作。</w:t>
      </w:r>
    </w:p>
    <w:p>
      <w:pPr>
        <w:pStyle w:val="Compact"/>
        <w:numPr>
          <w:numId w:val="1011"/>
          <w:ilvl w:val="0"/>
        </w:numPr>
      </w:pPr>
      <w:r>
        <w:t xml:space="preserve">相比技术部门，销售部门人员离职概率较低，这可能与销售人员在行业内专一产品方向所积累的经验和人脉有关。相比 IT 技术人员，销售人员的人脉可能更加局限于某一细分行业，跳槽的机会较少；而且，随着经验和人脉的积累，销售部门人员在企业内逐渐拿到更多的销售提成，对于企业的价值越来越大，企业对资深销售人员的待遇逐渐抬升；反过来，销售人员也一定程度上依赖着企业的平台，跳槽对于销售人员的不确定性较高。</w:t>
      </w:r>
    </w:p>
    <w:p>
      <w:pPr>
        <w:pStyle w:val="Compact"/>
        <w:numPr>
          <w:numId w:val="1011"/>
          <w:ilvl w:val="0"/>
        </w:numPr>
      </w:pPr>
      <w:r>
        <w:t xml:space="preserve">特殊项目的数量与离职率负相关，由需求层次理论，这与员工的成就感和价值感有关，由于他们的工作不仅局限于日常工作，其它的项目推进让他们有更多的参与感和成就感，进而增强了对企业的归属感；同时，反过来说，参加特殊项目多的员工很可能本身就是为企业器重的核心人员，他们本身待遇和地位都较高，离职倾向不明显。</w:t>
      </w:r>
    </w:p>
    <w:p>
      <w:pPr>
        <w:pStyle w:val="Heading2"/>
      </w:pPr>
      <w:bookmarkStart w:id="76" w:name="阈值选择"/>
      <w:r>
        <w:t xml:space="preserve">阈值选择</w:t>
      </w:r>
      <w:bookmarkEnd w:id="76"/>
    </w:p>
    <w:p>
      <w:pPr>
        <w:pStyle w:val="FirstParagraph"/>
      </w:pPr>
      <w:r>
        <w:t xml:space="preserve">结合具体的业务，为了达到最高的效率，我们可以通过</w:t>
      </w:r>
      <w:r>
        <w:rPr>
          <w:b/>
        </w:rPr>
        <w:t xml:space="preserve">确定不同的预测阈值来达到不同的效果</w:t>
      </w:r>
      <w:r>
        <w:t xml:space="preserve">，例如：</w:t>
      </w:r>
    </w:p>
    <w:p>
      <w:pPr>
        <w:pStyle w:val="Compact"/>
        <w:numPr>
          <w:numId w:val="1012"/>
          <w:ilvl w:val="0"/>
        </w:numPr>
      </w:pPr>
      <w:r>
        <w:t xml:space="preserve">在企业进行潜在离职者的一对一谈心和了解情况时，可以通过提高阈值的方法提高特异度，以尽量避免错判。</w:t>
      </w:r>
    </w:p>
    <w:p>
      <w:pPr>
        <w:pStyle w:val="Compact"/>
        <w:numPr>
          <w:numId w:val="1012"/>
          <w:ilvl w:val="0"/>
        </w:numPr>
      </w:pPr>
      <w:r>
        <w:t xml:space="preserve">在就业服务中心进行潜在离职者的筛选时，通过降低阈值的方式提高灵敏度，以检测出更多潜在离职者以扩大服务范围。</w:t>
      </w:r>
    </w:p>
    <w:p>
      <w:pPr>
        <w:pStyle w:val="Compact"/>
        <w:numPr>
          <w:numId w:val="1012"/>
          <w:ilvl w:val="0"/>
        </w:numPr>
      </w:pPr>
      <w:r>
        <w:t xml:space="preserve">在政策制定需要估计离职率时，通过平衡错判的成本与查漏的损失，确定适中的阈值以达到估计的准确性。</w:t>
      </w:r>
    </w:p>
    <w:p>
      <w:pPr>
        <w:pStyle w:val="Heading2"/>
      </w:pPr>
      <w:bookmarkStart w:id="77" w:name="模型选择"/>
      <w:r>
        <w:t xml:space="preserve">模型选择</w:t>
      </w:r>
      <w:bookmarkEnd w:id="77"/>
    </w:p>
    <w:p>
      <w:pPr>
        <w:pStyle w:val="FirstParagraph"/>
      </w:pPr>
      <w:r>
        <w:t xml:space="preserve">在</w:t>
      </w:r>
      <w:r>
        <w:rPr>
          <w:b/>
        </w:rPr>
        <w:t xml:space="preserve">Kappa</w:t>
      </w:r>
      <w:r>
        <w:t xml:space="preserve">这一效果衡量指标下，PLSDA 有着最好的效果，LDA 和 Logit 模型次之，GBM 模型远差于前面 3 个模型。</w:t>
      </w:r>
    </w:p>
    <w:p>
      <w:pPr>
        <w:pStyle w:val="BodyText"/>
      </w:pPr>
      <w:r>
        <w:t xml:space="preserve">在</w:t>
      </w:r>
      <w:r>
        <w:rPr>
          <w:b/>
        </w:rPr>
        <w:t xml:space="preserve">准确率</w:t>
      </w:r>
      <w:r>
        <w:t xml:space="preserve">这一效果衡量指标下，从偏差的角度来看，PLSDA 有着最好的效果，SVM 模型次之；从方差的角度来看，SVM 模型具有明显较小的方差。</w:t>
      </w:r>
    </w:p>
    <w:p>
      <w:pPr>
        <w:pStyle w:val="BodyText"/>
      </w:pPr>
      <w:r>
        <w:t xml:space="preserve">综合来看，</w:t>
      </w:r>
      <w:r>
        <w:rPr>
          <w:b/>
        </w:rPr>
        <w:t xml:space="preserve">PLSDA</w:t>
      </w:r>
      <w:r>
        <w:t xml:space="preserve">模型具有最好的效果。然而，在模型的应用方面，由于 Logit 模型计算速度较快、可解释性强的，在对准确率要求不高而更加重视变量的可解释性的场景下，Logit 模型也不失为一个较好的选择。</w:t>
      </w:r>
    </w:p>
    <w:p>
      <w:pPr>
        <w:pStyle w:val="Heading2"/>
      </w:pPr>
      <w:bookmarkStart w:id="78" w:name="变量选择"/>
      <w:r>
        <w:t xml:space="preserve">变量选择</w:t>
      </w:r>
      <w:bookmarkEnd w:id="78"/>
    </w:p>
    <w:p>
      <w:pPr>
        <w:pStyle w:val="FirstParagraph"/>
      </w:pPr>
      <w:r>
        <w:t xml:space="preserve">在 PLSDA 模型中的各变量重要性排序：排在前三名的是</w:t>
      </w:r>
      <w:r>
        <w:t xml:space="preserve">“</w:t>
      </w:r>
      <w:r>
        <w:t xml:space="preserve">婚姻状况中的独居</w:t>
      </w:r>
      <w:r>
        <w:t xml:space="preserve">”</w:t>
      </w:r>
      <w:r>
        <w:t xml:space="preserve">、</w:t>
      </w:r>
      <w:r>
        <w:t xml:space="preserve">“</w:t>
      </w:r>
      <w:r>
        <w:t xml:space="preserve">绩效表现中的较差一类</w:t>
      </w:r>
      <w:r>
        <w:t xml:space="preserve">”</w:t>
      </w:r>
      <w:r>
        <w:t xml:space="preserve">和</w:t>
      </w:r>
      <w:r>
        <w:t xml:space="preserve">“</w:t>
      </w:r>
      <w:r>
        <w:t xml:space="preserve">婚姻状况中的已婚</w:t>
      </w:r>
      <w:r>
        <w:t xml:space="preserve">”</w:t>
      </w:r>
      <w:r>
        <w:t xml:space="preserve">。这三个变量对于不同部门、不同工作内容、不同工作地位的员工具有较强的普适性。属于对员工个人的刻画，对于预测员工是否离职较为重要。</w:t>
      </w:r>
    </w:p>
    <w:p>
      <w:pPr>
        <w:pStyle w:val="BodyText"/>
      </w:pPr>
      <w:r>
        <w:t xml:space="preserve">而重要程度最低的三个变量分别是</w:t>
      </w:r>
      <w:r>
        <w:t xml:space="preserve">“</w:t>
      </w:r>
      <w:r>
        <w:t xml:space="preserve">薪资水平</w:t>
      </w:r>
      <w:r>
        <w:t xml:space="preserve">”</w:t>
      </w:r>
      <w:r>
        <w:t xml:space="preserve">、</w:t>
      </w:r>
      <w:r>
        <w:t xml:space="preserve">“</w:t>
      </w:r>
      <w:r>
        <w:t xml:space="preserve">完成项目的数量</w:t>
      </w:r>
      <w:r>
        <w:t xml:space="preserve">”</w:t>
      </w:r>
      <w:r>
        <w:t xml:space="preserve">和</w:t>
      </w:r>
      <w:r>
        <w:t xml:space="preserve">“</w:t>
      </w:r>
      <w:r>
        <w:t xml:space="preserve">是否在IT/IS部门</w:t>
      </w:r>
      <w:r>
        <w:t xml:space="preserve">”</w:t>
      </w:r>
      <w:r>
        <w:t xml:space="preserve">。这三个变量与员工个人的性格、工作能力、家庭关系较小，属于对工作分类的刻画，对于预测员工是否离职的重要性较低。</w:t>
      </w:r>
    </w:p>
    <w:p>
      <w:pPr>
        <w:pStyle w:val="Heading2"/>
      </w:pPr>
      <w:bookmarkStart w:id="79" w:name="模型应用"/>
      <w:r>
        <w:t xml:space="preserve">模型应用</w:t>
      </w:r>
      <w:bookmarkEnd w:id="79"/>
    </w:p>
    <w:p>
      <w:pPr>
        <w:pStyle w:val="Compact"/>
        <w:numPr>
          <w:numId w:val="1013"/>
          <w:ilvl w:val="0"/>
        </w:numPr>
      </w:pPr>
      <w:r>
        <w:t xml:space="preserve">从企业角度：通过对员工是否将离职进行预测，可以为企业提前找到潜在的离职员工，并提前作出应对策略，通过改进用人制度和政策等措施留住企业并不想解雇的员工，以减小离职率。在减小离职率的同时，公司可以通过对有离职倾向的员工数量进行评估，提前准备后备人才以便随时顶岗，减小因个别人才的流失带来的损失。</w:t>
      </w:r>
    </w:p>
    <w:p>
      <w:pPr>
        <w:pStyle w:val="Compact"/>
        <w:numPr>
          <w:numId w:val="1013"/>
          <w:ilvl w:val="0"/>
        </w:numPr>
      </w:pPr>
      <w:r>
        <w:t xml:space="preserve">从社会角度：利用大数据，通过对社区人员的信息统计，对数据进行脱敏处理后，可以预测人力资源流动、监测摩擦性失业指标，为政策决策提供依据，达到减小社会失业率的目的。</w:t>
      </w:r>
    </w:p>
    <w:p>
      <w:r>
        <w:br w:type="page"/>
      </w:r>
    </w:p>
    <w:p>
      <w:pPr>
        <w:pStyle w:val="Heading1"/>
      </w:pPr>
      <w:bookmarkStart w:id="80" w:name="参考文献"/>
      <w:r>
        <w:t xml:space="preserve">参考文献</w:t>
      </w:r>
      <w:bookmarkEnd w:id="80"/>
    </w:p>
    <w:bookmarkStart w:id="94" w:name="refs"/>
    <w:bookmarkStart w:id="81" w:name="ref-张梓嫣2019BJM"/>
    <w:p>
      <w:pPr>
        <w:pStyle w:val="Bibliography"/>
      </w:pPr>
      <w:r>
        <w:t xml:space="preserve">[1] 张梓嫣. BJM公司新员工离职问题分析及对策研究[D]. 江苏大学, 2019.</w:t>
      </w:r>
    </w:p>
    <w:bookmarkEnd w:id="81"/>
    <w:bookmarkStart w:id="82" w:name="ref-杨喆麟2017星巴克"/>
    <w:p>
      <w:pPr>
        <w:pStyle w:val="Bibliography"/>
      </w:pPr>
      <w:r>
        <w:t xml:space="preserve">[2] 杨喆麟. 星巴克(中国)公司员工离职问题分析与优化策略[D]. 兰州大学, 2017.</w:t>
      </w:r>
    </w:p>
    <w:bookmarkEnd w:id="82"/>
    <w:bookmarkStart w:id="83" w:name="ref-赵西萍2003A"/>
    <w:p>
      <w:pPr>
        <w:pStyle w:val="Bibliography"/>
      </w:pPr>
      <w:r>
        <w:t xml:space="preserve">[3] 赵西萍, 刘玲, 张长征. A Multi- variable Analysis on Factors Influencing Employee’s Turnover Intention[J]. 中国软科学, 2003, 000(3): 71–74.</w:t>
      </w:r>
    </w:p>
    <w:bookmarkEnd w:id="83"/>
    <w:bookmarkStart w:id="84" w:name="ref-张紫君2018企业员工的离职预测模型"/>
    <w:p>
      <w:pPr>
        <w:pStyle w:val="Bibliography"/>
      </w:pPr>
      <w:r>
        <w:t xml:space="preserve">[4] 张紫君. 企业员工的离职预测模型[D]. 重庆大学, 2018.</w:t>
      </w:r>
    </w:p>
    <w:bookmarkEnd w:id="84"/>
    <w:bookmarkStart w:id="85" w:name="ref-Altman1994Diagnostic"/>
    <w:p>
      <w:pPr>
        <w:pStyle w:val="Bibliography"/>
      </w:pPr>
      <w:r>
        <w:t xml:space="preserve">[5] ALTMAN, DOUGLAS, G., 等. Diagnostic tests 3: receiver operating characteristic plots.[J]. Bmj British Medical Journal, 1994.</w:t>
      </w:r>
    </w:p>
    <w:bookmarkEnd w:id="85"/>
    <w:bookmarkStart w:id="86" w:name="ref-Brown2006Receiver"/>
    <w:p>
      <w:pPr>
        <w:pStyle w:val="Bibliography"/>
      </w:pPr>
      <w:r>
        <w:t xml:space="preserve">[6] BROWN C D, DAVIS H T. Receiver operating characteristics curves and related decision measures: A tutorial[J]. Chemometrics &amp; Intelligent Laboratory Systems, 2006, 80(1): 24–38.</w:t>
      </w:r>
    </w:p>
    <w:bookmarkEnd w:id="86"/>
    <w:bookmarkStart w:id="87" w:name="ref-Fawcett2006An"/>
    <w:p>
      <w:pPr>
        <w:pStyle w:val="Bibliography"/>
      </w:pPr>
      <w:r>
        <w:t xml:space="preserve">[7] FAWCETT T. An introduction to ROC analysis[J]. Pattern Recognition Letters, 2006, 27(8): 861–874.</w:t>
      </w:r>
    </w:p>
    <w:bookmarkEnd w:id="87"/>
    <w:bookmarkStart w:id="88" w:name="ref-Cohen1960A"/>
    <w:p>
      <w:pPr>
        <w:pStyle w:val="Bibliography"/>
      </w:pPr>
      <w:r>
        <w:t xml:space="preserve">[8] COHEN J A. A Coefficient of Agreement for Nominal Scales[J]. Educational &amp; Psychological Measurement, 1960, 20(1): 37–46.</w:t>
      </w:r>
    </w:p>
    <w:bookmarkEnd w:id="88"/>
    <w:bookmarkStart w:id="89" w:name="ref-fisher36lda"/>
    <w:p>
      <w:pPr>
        <w:pStyle w:val="Bibliography"/>
      </w:pPr>
      <w:r>
        <w:t xml:space="preserve">[9] FISHER R A. The Use of Multiple Measurements in Taxonomic Problems[J]. Annals of Eugenics, 1936, 7(7): 179–188.</w:t>
      </w:r>
    </w:p>
    <w:bookmarkEnd w:id="89"/>
    <w:bookmarkStart w:id="90" w:name="ref-WELCH1939"/>
    <w:p>
      <w:pPr>
        <w:pStyle w:val="Bibliography"/>
      </w:pPr>
      <w:r>
        <w:t xml:space="preserve">[10] L. W B. (ii) Note on Discriminant Functions[J]. Biometrika, 1939(1-2): 1–2.</w:t>
      </w:r>
    </w:p>
    <w:bookmarkEnd w:id="90"/>
    <w:bookmarkStart w:id="91" w:name="ref-Peder1986Comparison"/>
    <w:p>
      <w:pPr>
        <w:pStyle w:val="Bibliography"/>
      </w:pPr>
      <w:r>
        <w:t xml:space="preserve">[11] BERNTSSON P, WOLD S. Comparison Between X-Ray Crystallographic Data and Physicochemical Parameters with Respect to Their Information about the Calcium Channel Antagonist Activity of 4-Phenyl-1,4-dihydropyridines[J]. Quantitative Structure Activity Relationships, 1986, 5(2): 45–50.</w:t>
      </w:r>
    </w:p>
    <w:bookmarkEnd w:id="91"/>
    <w:bookmarkStart w:id="92" w:name="ref-Liu2007PLS"/>
    <w:p>
      <w:pPr>
        <w:pStyle w:val="Bibliography"/>
      </w:pPr>
      <w:r>
        <w:t xml:space="preserve">[12] LIU Y, RAYENS W. PLS and dimension reduction for classification[J]. Computational Statistics, 2007, 22(2): 189–208.</w:t>
      </w:r>
    </w:p>
    <w:bookmarkEnd w:id="92"/>
    <w:bookmarkStart w:id="93" w:name="ref-Ben2000Tissue"/>
    <w:p>
      <w:pPr>
        <w:pStyle w:val="Bibliography"/>
      </w:pPr>
      <w:r>
        <w:t xml:space="preserve">[13] BEN-DOR, AMIR, BRUHN, 等. Tissue Classification with Gene Expression Profiles[J]. Journal of Computational Biology, 2000.</w:t>
      </w:r>
    </w:p>
    <w:bookmarkEnd w:id="93"/>
    <w:bookmarkEnd w:id="94"/>
    <w:p>
      <w:r>
        <w:br w:type="page"/>
      </w:r>
    </w:p>
    <w:p>
      <w:pPr>
        <w:pStyle w:val="Heading1"/>
      </w:pPr>
      <w:bookmarkStart w:id="95" w:name="附录"/>
      <w:r>
        <w:t xml:space="preserve">附录</w:t>
      </w:r>
      <w:bookmarkEnd w:id="95"/>
    </w:p>
    <w:p>
      <w:pPr>
        <w:pStyle w:val="Heading2"/>
      </w:pPr>
      <w:bookmarkStart w:id="96" w:name="模型间准确率和-kappa-的比较"/>
      <w:r>
        <w:t xml:space="preserve">模型间准确率和 Kappa 的比较</w:t>
      </w:r>
      <w:bookmarkEnd w:id="96"/>
    </w:p>
    <w:p>
      <w:pPr>
        <w:pStyle w:val="Heading2"/>
      </w:pPr>
      <w:bookmarkStart w:id="97" w:name="logit-回归结果"/>
      <w:r>
        <w:t xml:space="preserve">Logit 回归结果</w:t>
      </w:r>
      <w:bookmarkEnd w:id="97"/>
    </w:p>
    <w:p>
      <w:pPr>
        <w:pStyle w:val="SourceCode"/>
      </w:pPr>
      <w:r>
        <w:rPr>
          <w:rStyle w:val="VerbatimChar"/>
        </w:rPr>
        <w:t xml:space="preserve">## </w:t>
      </w:r>
      <w:r>
        <w:br/>
      </w:r>
      <w:r>
        <w:rPr>
          <w:rStyle w:val="VerbatimChar"/>
        </w:rPr>
        <w:t xml:space="preserve">## Call:</w:t>
      </w:r>
      <w:r>
        <w:br/>
      </w:r>
      <w:r>
        <w:rPr>
          <w:rStyle w:val="VerbatimChar"/>
        </w:rPr>
        <w:t xml:space="preserve">## glm(formula = Revenue ~ Administrative + Administrative_Duration + </w:t>
      </w:r>
      <w:r>
        <w:br/>
      </w:r>
      <w:r>
        <w:rPr>
          <w:rStyle w:val="VerbatimChar"/>
        </w:rPr>
        <w:t xml:space="preserve">##     Informational + Informational_Duration + ProductRelated + </w:t>
      </w:r>
      <w:r>
        <w:br/>
      </w:r>
      <w:r>
        <w:rPr>
          <w:rStyle w:val="VerbatimChar"/>
        </w:rPr>
        <w:t xml:space="preserve">##     ProductRelated_Duration + BounceRates + ExitRates + PageValues + </w:t>
      </w:r>
      <w:r>
        <w:br/>
      </w:r>
      <w:r>
        <w:rPr>
          <w:rStyle w:val="VerbatimChar"/>
        </w:rPr>
        <w:t xml:space="preserve">##     SpecialDay + Month, family = binomial(link = "logit"), data = 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-6.1120  -0.4669  -0.3408  -0.1629   3.5081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-1.882e+00  1.673e-01 -11.251  &lt; 2e-16 ***</w:t>
      </w:r>
      <w:r>
        <w:br/>
      </w:r>
      <w:r>
        <w:rPr>
          <w:rStyle w:val="VerbatimChar"/>
        </w:rPr>
        <w:t xml:space="preserve">## Administrative           3.835e-03  1.095e-02   0.350 0.726141    </w:t>
      </w:r>
      <w:r>
        <w:br/>
      </w:r>
      <w:r>
        <w:rPr>
          <w:rStyle w:val="VerbatimChar"/>
        </w:rPr>
        <w:t xml:space="preserve">## Administrative_Duration -1.084e-04  1.936e-04  -0.560 0.575700    </w:t>
      </w:r>
      <w:r>
        <w:br/>
      </w:r>
      <w:r>
        <w:rPr>
          <w:rStyle w:val="VerbatimChar"/>
        </w:rPr>
        <w:t xml:space="preserve">## Informational            2.968e-02  2.690e-02   1.103 0.269967    </w:t>
      </w:r>
      <w:r>
        <w:br/>
      </w:r>
      <w:r>
        <w:rPr>
          <w:rStyle w:val="VerbatimChar"/>
        </w:rPr>
        <w:t xml:space="preserve">## Informational_Duration   8.065e-05  2.208e-04   0.365 0.714905    </w:t>
      </w:r>
      <w:r>
        <w:br/>
      </w:r>
      <w:r>
        <w:rPr>
          <w:rStyle w:val="VerbatimChar"/>
        </w:rPr>
        <w:t xml:space="preserve">## ProductRelated           1.285e-03  1.141e-03   1.127 0.259846    </w:t>
      </w:r>
      <w:r>
        <w:br/>
      </w:r>
      <w:r>
        <w:rPr>
          <w:rStyle w:val="VerbatimChar"/>
        </w:rPr>
        <w:t xml:space="preserve">## ProductRelated_Duration  5.977e-05  2.680e-05   2.230 0.025726 *  </w:t>
      </w:r>
      <w:r>
        <w:br/>
      </w:r>
      <w:r>
        <w:rPr>
          <w:rStyle w:val="VerbatimChar"/>
        </w:rPr>
        <w:t xml:space="preserve">## BounceRates             -4.533e+00  3.341e+00  -1.357 0.174871    </w:t>
      </w:r>
      <w:r>
        <w:br/>
      </w:r>
      <w:r>
        <w:rPr>
          <w:rStyle w:val="VerbatimChar"/>
        </w:rPr>
        <w:t xml:space="preserve">## ExitRates               -1.686e+01  2.380e+00  -7.082 1.42e-12 ***</w:t>
      </w:r>
      <w:r>
        <w:br/>
      </w:r>
      <w:r>
        <w:rPr>
          <w:rStyle w:val="VerbatimChar"/>
        </w:rPr>
        <w:t xml:space="preserve">## PageValues               8.198e-02  2.402e-03  34.134  &lt; 2e-16 ***</w:t>
      </w:r>
      <w:r>
        <w:br/>
      </w:r>
      <w:r>
        <w:rPr>
          <w:rStyle w:val="VerbatimChar"/>
        </w:rPr>
        <w:t xml:space="preserve">## SpecialDay              -1.323e-01  2.369e-01  -0.558 0.576707    </w:t>
      </w:r>
      <w:r>
        <w:br/>
      </w:r>
      <w:r>
        <w:rPr>
          <w:rStyle w:val="VerbatimChar"/>
        </w:rPr>
        <w:t xml:space="preserve">## MonthDec                -6.016e-01  1.814e-01  -3.316 0.000914 ***</w:t>
      </w:r>
      <w:r>
        <w:br/>
      </w:r>
      <w:r>
        <w:rPr>
          <w:rStyle w:val="VerbatimChar"/>
        </w:rPr>
        <w:t xml:space="preserve">## MonthFeb                -1.819e+00  6.385e-01  -2.849 0.004393 ** </w:t>
      </w:r>
      <w:r>
        <w:br/>
      </w:r>
      <w:r>
        <w:rPr>
          <w:rStyle w:val="VerbatimChar"/>
        </w:rPr>
        <w:t xml:space="preserve">## MonthJul                 7.833e-02  2.180e-01   0.359 0.719360    </w:t>
      </w:r>
      <w:r>
        <w:br/>
      </w:r>
      <w:r>
        <w:rPr>
          <w:rStyle w:val="VerbatimChar"/>
        </w:rPr>
        <w:t xml:space="preserve">## MonthJune               -3.214e-01  2.741e-01  -1.173 0.240938    </w:t>
      </w:r>
      <w:r>
        <w:br/>
      </w:r>
      <w:r>
        <w:rPr>
          <w:rStyle w:val="VerbatimChar"/>
        </w:rPr>
        <w:t xml:space="preserve">## MonthMar                -5.196e-01  1.795e-01  -2.894 0.003802 ** </w:t>
      </w:r>
      <w:r>
        <w:br/>
      </w:r>
      <w:r>
        <w:rPr>
          <w:rStyle w:val="VerbatimChar"/>
        </w:rPr>
        <w:t xml:space="preserve">## MonthMay                -5.725e-01  1.733e-01  -3.303 0.000957 ***</w:t>
      </w:r>
      <w:r>
        <w:br/>
      </w:r>
      <w:r>
        <w:rPr>
          <w:rStyle w:val="VerbatimChar"/>
        </w:rPr>
        <w:t xml:space="preserve">## MonthNov                 5.372e-01  1.620e-01   3.316 0.000914 ***</w:t>
      </w:r>
      <w:r>
        <w:br/>
      </w:r>
      <w:r>
        <w:rPr>
          <w:rStyle w:val="VerbatimChar"/>
        </w:rPr>
        <w:t xml:space="preserve">## MonthOct                 7.194e-03  2.013e-01   0.036 0.971489    </w:t>
      </w:r>
      <w:r>
        <w:br/>
      </w:r>
      <w:r>
        <w:rPr>
          <w:rStyle w:val="VerbatimChar"/>
        </w:rPr>
        <w:t xml:space="preserve">## MonthSep                 6.113e-03  2.123e-01   0.029 0.977024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10624.8  on 12329  degrees of freedom</w:t>
      </w:r>
      <w:r>
        <w:br/>
      </w:r>
      <w:r>
        <w:rPr>
          <w:rStyle w:val="VerbatimChar"/>
        </w:rPr>
        <w:t xml:space="preserve">## Residual deviance:  7179.6  on 12310  degrees of freedom</w:t>
      </w:r>
      <w:r>
        <w:br/>
      </w:r>
      <w:r>
        <w:rPr>
          <w:rStyle w:val="VerbatimChar"/>
        </w:rPr>
        <w:t xml:space="preserve">## AIC: 7219.6</w:t>
      </w:r>
      <w:r>
        <w:br/>
      </w:r>
      <w:r>
        <w:rPr>
          <w:rStyle w:val="VerbatimChar"/>
        </w:rPr>
        <w:t xml:space="preserve">## </w:t>
      </w:r>
      <w:r>
        <w:br/>
      </w:r>
      <w:r>
        <w:rPr>
          <w:rStyle w:val="VerbatimChar"/>
        </w:rPr>
        <w:t xml:space="preserve">## Number of Fisher Scoring iterations: 7</w:t>
      </w:r>
    </w:p>
    <w:p>
      <w:pPr>
        <w:pStyle w:val="Heading2"/>
      </w:pPr>
      <w:bookmarkStart w:id="98" w:name="数据指标明细"/>
      <w:r>
        <w:t xml:space="preserve">数据指标明细</w:t>
      </w:r>
      <w:bookmarkEnd w:id="98"/>
    </w:p>
    <w:p>
      <w:pPr>
        <w:pStyle w:val="SourceCode"/>
      </w:pPr>
      <w:r>
        <w:rPr>
          <w:rStyle w:val="VerbatimChar"/>
        </w:rPr>
        <w:t xml:space="preserve">## 'data.frame':    12330 obs. of  18 variables:</w:t>
      </w:r>
      <w:r>
        <w:br/>
      </w:r>
      <w:r>
        <w:rPr>
          <w:rStyle w:val="VerbatimChar"/>
        </w:rPr>
        <w:t xml:space="preserve">##  $ Administrative         : int  0 0 0 0 0 0 0 1 0 0 ...</w:t>
      </w:r>
      <w:r>
        <w:br/>
      </w:r>
      <w:r>
        <w:rPr>
          <w:rStyle w:val="VerbatimChar"/>
        </w:rPr>
        <w:t xml:space="preserve">##  $ Administrative_Duration: num  0 0 0 0 0 0 0 0 0 0 ...</w:t>
      </w:r>
      <w:r>
        <w:br/>
      </w:r>
      <w:r>
        <w:rPr>
          <w:rStyle w:val="VerbatimChar"/>
        </w:rPr>
        <w:t xml:space="preserve">##  $ Informational          : int  0 0 0 0 0 0 0 0 0 0 ...</w:t>
      </w:r>
      <w:r>
        <w:br/>
      </w:r>
      <w:r>
        <w:rPr>
          <w:rStyle w:val="VerbatimChar"/>
        </w:rPr>
        <w:t xml:space="preserve">##  $ Informational_Duration : num  0 0 0 0 0 0 0 0 0 0 ...</w:t>
      </w:r>
      <w:r>
        <w:br/>
      </w:r>
      <w:r>
        <w:rPr>
          <w:rStyle w:val="VerbatimChar"/>
        </w:rPr>
        <w:t xml:space="preserve">##  $ ProductRelated         : int  1 2 1 2 10 19 1 0 2 3 ...</w:t>
      </w:r>
      <w:r>
        <w:br/>
      </w:r>
      <w:r>
        <w:rPr>
          <w:rStyle w:val="VerbatimChar"/>
        </w:rPr>
        <w:t xml:space="preserve">##  $ ProductRelated_Duration: num  0 64 0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Factor w/ 10 levels "Aug","Dec","Feb",..: 3 3 3 3 3 3 3 3 3 3 ...</w:t>
      </w:r>
      <w:r>
        <w:br/>
      </w:r>
      <w:r>
        <w:rPr>
          <w:rStyle w:val="VerbatimChar"/>
        </w:rPr>
        <w:t xml:space="preserve">##  $ OperatingSystems       : Factor w/ 8 levels "1","2","3","4",..: 1 2 4 3 3 2 2 1 2 2 ...</w:t>
      </w:r>
      <w:r>
        <w:br/>
      </w:r>
      <w:r>
        <w:rPr>
          <w:rStyle w:val="VerbatimChar"/>
        </w:rPr>
        <w:t xml:space="preserve">##  $ Browser                : Factor w/ 13 levels "1","2","3","4",..: 1 2 1 2 3 2 4 2 2 4 ...</w:t>
      </w:r>
      <w:r>
        <w:br/>
      </w:r>
      <w:r>
        <w:rPr>
          <w:rStyle w:val="VerbatimChar"/>
        </w:rPr>
        <w:t xml:space="preserve">##  $ Region                 : Factor w/ 9 levels "1","2","3","4",..: 1 1 9 2 1 1 3 1 2 1 ...</w:t>
      </w:r>
      <w:r>
        <w:br/>
      </w:r>
      <w:r>
        <w:rPr>
          <w:rStyle w:val="VerbatimChar"/>
        </w:rPr>
        <w:t xml:space="preserve">##  $ TrafficType            : Factor w/ 20 levels "1","2","3","4",..: 1 2 3 4 4 3 3 5 3 2 ...</w:t>
      </w:r>
      <w:r>
        <w:br/>
      </w:r>
      <w:r>
        <w:rPr>
          <w:rStyle w:val="VerbatimChar"/>
        </w:rPr>
        <w:t xml:space="preserve">##  $ VisitorType            : Factor w/ 3 levels "New_Visitor",..: 3 3 3 3 3 3 3 3 3 3 ...</w:t>
      </w:r>
      <w:r>
        <w:br/>
      </w:r>
      <w:r>
        <w:rPr>
          <w:rStyle w:val="VerbatimChar"/>
        </w:rPr>
        <w:t xml:space="preserve">##  $ Weekend                : Factor w/ 2 levels "0","1": 1 1 1 1 2 1 1 2 1 1 ...</w:t>
      </w:r>
      <w:r>
        <w:br/>
      </w:r>
      <w:r>
        <w:rPr>
          <w:rStyle w:val="VerbatimChar"/>
        </w:rPr>
        <w:t xml:space="preserve">##  $ Revenue                : Factor w/ 2 levels "0","1": 1 1 1 1 1 1 1 1 1 1 ...</w:t>
      </w:r>
    </w:p>
    <w:p>
      <w:pPr>
        <w:pStyle w:val="SourceCode"/>
      </w:pPr>
      <w:r>
        <w:rPr>
          <w:rStyle w:val="VerbatimChar"/>
        </w:rPr>
        <w:t xml:space="preserve">##  Administrative   Administrative_Duration Informational    </w:t>
      </w:r>
      <w:r>
        <w:br/>
      </w:r>
      <w:r>
        <w:rPr>
          <w:rStyle w:val="VerbatimChar"/>
        </w:rPr>
        <w:t xml:space="preserve">##  Min.   : 0.000   Min.   :   0.00         Min.   : 0.0000  </w:t>
      </w:r>
      <w:r>
        <w:br/>
      </w:r>
      <w:r>
        <w:rPr>
          <w:rStyle w:val="VerbatimChar"/>
        </w:rPr>
        <w:t xml:space="preserve">##  1st Qu.: 0.000   1st Qu.:   0.00         1st Qu.: 0.0000  </w:t>
      </w:r>
      <w:r>
        <w:br/>
      </w:r>
      <w:r>
        <w:rPr>
          <w:rStyle w:val="VerbatimChar"/>
        </w:rPr>
        <w:t xml:space="preserve">##  Median : 1.000   Median :   7.50         Median : 0.0000  </w:t>
      </w:r>
      <w:r>
        <w:br/>
      </w:r>
      <w:r>
        <w:rPr>
          <w:rStyle w:val="VerbatimChar"/>
        </w:rPr>
        <w:t xml:space="preserve">##  Mean   : 2.315   Mean   :  80.82         Mean   : 0.5036  </w:t>
      </w:r>
      <w:r>
        <w:br/>
      </w:r>
      <w:r>
        <w:rPr>
          <w:rStyle w:val="VerbatimChar"/>
        </w:rPr>
        <w:t xml:space="preserve">##  3rd Qu.: 4.000   3rd Qu.:  93.26         3rd Qu.: 0.0000  </w:t>
      </w:r>
      <w:r>
        <w:br/>
      </w:r>
      <w:r>
        <w:rPr>
          <w:rStyle w:val="VerbatimChar"/>
        </w:rPr>
        <w:t xml:space="preserve">##  Max.   :27.000   Max.   :3398.75         Max.   :24.0000  </w:t>
      </w:r>
      <w:r>
        <w:br/>
      </w:r>
      <w:r>
        <w:rPr>
          <w:rStyle w:val="VerbatimChar"/>
        </w:rPr>
        <w:t xml:space="preserve">##                                                            </w:t>
      </w:r>
      <w:r>
        <w:br/>
      </w:r>
      <w:r>
        <w:rPr>
          <w:rStyle w:val="VerbatimChar"/>
        </w:rPr>
        <w:t xml:space="preserve">##  Informational_Duration ProductRelated   ProductRelated_Duration</w:t>
      </w:r>
      <w:r>
        <w:br/>
      </w:r>
      <w:r>
        <w:rPr>
          <w:rStyle w:val="VerbatimChar"/>
        </w:rPr>
        <w:t xml:space="preserve">##  Min.   :   0.00        Min.   :  0.00   Min.   :    0.0        </w:t>
      </w:r>
      <w:r>
        <w:br/>
      </w:r>
      <w:r>
        <w:rPr>
          <w:rStyle w:val="VerbatimChar"/>
        </w:rPr>
        <w:t xml:space="preserve">##  1st Qu.:   0.00        1st Qu.:  7.00   1st Qu.:  184.1        </w:t>
      </w:r>
      <w:r>
        <w:br/>
      </w:r>
      <w:r>
        <w:rPr>
          <w:rStyle w:val="VerbatimChar"/>
        </w:rPr>
        <w:t xml:space="preserve">##  Median :   0.00        Median : 18.00   Median :  598.9        </w:t>
      </w:r>
      <w:r>
        <w:br/>
      </w:r>
      <w:r>
        <w:rPr>
          <w:rStyle w:val="VerbatimChar"/>
        </w:rPr>
        <w:t xml:space="preserve">##  Mean   :  34.47        Mean   : 31.73   Mean   : 1194.8        </w:t>
      </w:r>
      <w:r>
        <w:br/>
      </w:r>
      <w:r>
        <w:rPr>
          <w:rStyle w:val="VerbatimChar"/>
        </w:rPr>
        <w:t xml:space="preserve">##  3rd Qu.:   0.00        3rd Qu.: 38.00   3rd Qu.: 1464.2        </w:t>
      </w:r>
      <w:r>
        <w:br/>
      </w:r>
      <w:r>
        <w:rPr>
          <w:rStyle w:val="VerbatimChar"/>
        </w:rPr>
        <w:t xml:space="preserve">##  Max.   :2549.38        Max.   :705.00   Max.   :63973.5        </w:t>
      </w:r>
      <w:r>
        <w:br/>
      </w:r>
      <w:r>
        <w:rPr>
          <w:rStyle w:val="VerbatimChar"/>
        </w:rPr>
        <w:t xml:space="preserve">##                                                                 </w:t>
      </w:r>
      <w:r>
        <w:br/>
      </w:r>
      <w:r>
        <w:rPr>
          <w:rStyle w:val="VerbatimChar"/>
        </w:rPr>
        <w:t xml:space="preserve">##   BounceRates         ExitRates         PageValues        SpecialDay     </w:t>
      </w:r>
      <w:r>
        <w:br/>
      </w:r>
      <w:r>
        <w:rPr>
          <w:rStyle w:val="VerbatimChar"/>
        </w:rPr>
        <w:t xml:space="preserve">##  Min.   :0.000000   Min.   :0.00000   Min.   :  0.000   Min.   :0.00000  </w:t>
      </w:r>
      <w:r>
        <w:br/>
      </w:r>
      <w:r>
        <w:rPr>
          <w:rStyle w:val="VerbatimChar"/>
        </w:rPr>
        <w:t xml:space="preserve">##  1st Qu.:0.000000   1st Qu.:0.01429   1st Qu.:  0.000   1st Qu.:0.00000  </w:t>
      </w:r>
      <w:r>
        <w:br/>
      </w:r>
      <w:r>
        <w:rPr>
          <w:rStyle w:val="VerbatimChar"/>
        </w:rPr>
        <w:t xml:space="preserve">##  Median :0.003112   Median :0.02516   Median :  0.000   Median :0.00000  </w:t>
      </w:r>
      <w:r>
        <w:br/>
      </w:r>
      <w:r>
        <w:rPr>
          <w:rStyle w:val="VerbatimChar"/>
        </w:rPr>
        <w:t xml:space="preserve">##  Mean   :0.022191   Mean   :0.04307   Mean   :  5.889   Mean   :0.06143  </w:t>
      </w:r>
      <w:r>
        <w:br/>
      </w:r>
      <w:r>
        <w:rPr>
          <w:rStyle w:val="VerbatimChar"/>
        </w:rPr>
        <w:t xml:space="preserve">##  3rd Qu.:0.016813   3rd Qu.:0.05000   3rd Qu.:  0.000   3rd Qu.:0.00000  </w:t>
      </w:r>
      <w:r>
        <w:br/>
      </w:r>
      <w:r>
        <w:rPr>
          <w:rStyle w:val="VerbatimChar"/>
        </w:rPr>
        <w:t xml:space="preserve">##  Max.   :0.200000   Max.   :0.20000   Max.   :361.764   Max.   :1.00000  </w:t>
      </w:r>
      <w:r>
        <w:br/>
      </w:r>
      <w:r>
        <w:rPr>
          <w:rStyle w:val="VerbatimChar"/>
        </w:rPr>
        <w:t xml:space="preserve">##                                                                          </w:t>
      </w:r>
      <w:r>
        <w:br/>
      </w:r>
      <w:r>
        <w:rPr>
          <w:rStyle w:val="VerbatimChar"/>
        </w:rPr>
        <w:t xml:space="preserve">##      Month      OperatingSystems    Browser         Region      TrafficType  </w:t>
      </w:r>
      <w:r>
        <w:br/>
      </w:r>
      <w:r>
        <w:rPr>
          <w:rStyle w:val="VerbatimChar"/>
        </w:rPr>
        <w:t xml:space="preserve">##  May    :3364   2      :6601     2      :7961   1      :4780   2      :3913  </w:t>
      </w:r>
      <w:r>
        <w:br/>
      </w:r>
      <w:r>
        <w:rPr>
          <w:rStyle w:val="VerbatimChar"/>
        </w:rPr>
        <w:t xml:space="preserve">##  Nov    :2998   1      :2585     1      :2462   3      :2403   1      :2451  </w:t>
      </w:r>
      <w:r>
        <w:br/>
      </w:r>
      <w:r>
        <w:rPr>
          <w:rStyle w:val="VerbatimChar"/>
        </w:rPr>
        <w:t xml:space="preserve">##  Mar    :1907   3      :2555     4      : 736   4      :1182   3      :2052  </w:t>
      </w:r>
      <w:r>
        <w:br/>
      </w:r>
      <w:r>
        <w:rPr>
          <w:rStyle w:val="VerbatimChar"/>
        </w:rPr>
        <w:t xml:space="preserve">##  Dec    :1727   4      : 478     5      : 467   2      :1136   4      :1069  </w:t>
      </w:r>
      <w:r>
        <w:br/>
      </w:r>
      <w:r>
        <w:rPr>
          <w:rStyle w:val="VerbatimChar"/>
        </w:rPr>
        <w:t xml:space="preserve">##  Oct    : 549   8      :  79     6      : 174   6      : 805   13     : 738  </w:t>
      </w:r>
      <w:r>
        <w:br/>
      </w:r>
      <w:r>
        <w:rPr>
          <w:rStyle w:val="VerbatimChar"/>
        </w:rPr>
        <w:t xml:space="preserve">##  Sep    : 448   6      :  19     10     : 163   7      : 761   10     : 450  </w:t>
      </w:r>
      <w:r>
        <w:br/>
      </w:r>
      <w:r>
        <w:rPr>
          <w:rStyle w:val="VerbatimChar"/>
        </w:rPr>
        <w:t xml:space="preserve">##  (Other):1337   (Other):  13     (Other): 367   (Other):1263   (Other):1657  </w:t>
      </w:r>
      <w:r>
        <w:br/>
      </w:r>
      <w:r>
        <w:rPr>
          <w:rStyle w:val="VerbatimChar"/>
        </w:rPr>
        <w:t xml:space="preserve">##             VisitorType    Weekend  Revenue  </w:t>
      </w:r>
      <w:r>
        <w:br/>
      </w:r>
      <w:r>
        <w:rPr>
          <w:rStyle w:val="VerbatimChar"/>
        </w:rPr>
        <w:t xml:space="preserve">##  New_Visitor      : 1694   0:9462   0:10422  </w:t>
      </w:r>
      <w:r>
        <w:br/>
      </w:r>
      <w:r>
        <w:rPr>
          <w:rStyle w:val="VerbatimChar"/>
        </w:rPr>
        <w:t xml:space="preserve">##  Other            :   85   1:2868   1: 1908  </w:t>
      </w:r>
      <w:r>
        <w:br/>
      </w:r>
      <w:r>
        <w:rPr>
          <w:rStyle w:val="VerbatimChar"/>
        </w:rPr>
        <w:t xml:space="preserve">##  Returning_Visitor:10551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数据来源:</w:t>
      </w:r>
      <w:r>
        <w:t xml:space="preserve"> </w:t>
      </w:r>
      <w:hyperlink r:id="rId27">
        <w:r>
          <w:rPr>
            <w:rStyle w:val="Hyperlink"/>
          </w:rPr>
          <w:t xml:space="preserve">http://archive.ics.uci.edu/ml/datasets/Online+Shoppers+Purchasing+Intention+Dataset#</w:t>
        </w:r>
      </w:hyperlink>
    </w:p>
  </w:footnote>
  <w:footnote w:id="28">
    <w:p>
      <w:pPr>
        <w:pStyle w:val="FootnoteText"/>
      </w:pPr>
      <w:r>
        <w:rPr>
          <w:rStyle w:val="FootnoteReference"/>
        </w:rPr>
        <w:footnoteRef/>
      </w:r>
      <w:r>
        <w:t xml:space="preserve"> </w:t>
      </w:r>
      <w:r>
        <w:t xml:space="preserve">模型的变量取值和分布见附录</w:t>
      </w:r>
    </w:p>
  </w:footnote>
  <w:footnote w:id="41">
    <w:p>
      <w:pPr>
        <w:pStyle w:val="FootnoteText"/>
      </w:pPr>
      <w:r>
        <w:rPr>
          <w:rStyle w:val="FootnoteReference"/>
        </w:rPr>
        <w:footnoteRef/>
      </w:r>
      <w:r>
        <w:t xml:space="preserve"> </w:t>
      </w:r>
      <w:r>
        <w:t xml:space="preserve">模型详细见附录</w:t>
      </w:r>
    </w:p>
  </w:footnote>
  <w:footnote w:id="42">
    <w:p>
      <w:pPr>
        <w:pStyle w:val="FootnoteText"/>
      </w:pPr>
      <w:r>
        <w:rPr>
          <w:rStyle w:val="FootnoteReference"/>
        </w:rPr>
        <w:footnoteRef/>
      </w:r>
      <w:r>
        <w:t xml:space="preserve"> </w:t>
      </w:r>
      <w:r>
        <w:t xml:space="preserve">在 95% 置信区间下</w:t>
      </w:r>
    </w:p>
  </w:footnote>
  <w:footnote w:id="43">
    <w:p>
      <w:pPr>
        <w:pStyle w:val="FootnoteText"/>
      </w:pPr>
      <w:r>
        <w:rPr>
          <w:rStyle w:val="FootnoteReference"/>
        </w:rPr>
        <w:footnoteRef/>
      </w:r>
      <w:r>
        <w:t xml:space="preserve"> </w:t>
      </w:r>
      <w:r>
        <w:t xml:space="preserve">在 90% 置信区间下</w:t>
      </w:r>
    </w:p>
  </w:footnote>
  <w:footnote w:id="47">
    <w:p>
      <w:pPr>
        <w:pStyle w:val="FootnoteText"/>
      </w:pPr>
      <w:r>
        <w:rPr>
          <w:rStyle w:val="FootnoteReference"/>
        </w:rPr>
        <w:footnoteRef/>
      </w:r>
      <w:r>
        <w:t xml:space="preserve"> </w:t>
      </w:r>
      <w:r>
        <w:t xml:space="preserve">事实上，在预测一些有偏分布的小概率事件时，模型准确率通常会低于无信息准确率。</w:t>
      </w:r>
    </w:p>
  </w:footnote>
  <w:footnote w:id="52">
    <w:p>
      <w:pPr>
        <w:pStyle w:val="FootnoteText"/>
      </w:pPr>
      <w:r>
        <w:rPr>
          <w:rStyle w:val="FootnoteReference"/>
        </w:rPr>
        <w:footnoteRef/>
      </w:r>
      <w:r>
        <w:t xml:space="preserve"> </w:t>
      </w:r>
      <w:r>
        <w:t xml:space="preserve">由于数据集样本量过大，难以完成较为复杂的模型求解，且没有分布式计算的环境，我们从总样本中随机抽取 10% 的数据用于各种模型的训练和验证。</w:t>
      </w:r>
    </w:p>
  </w:footnote>
  <w:footnote w:id="55">
    <w:p>
      <w:pPr>
        <w:pStyle w:val="FootnoteText"/>
      </w:pPr>
      <w:r>
        <w:rPr>
          <w:rStyle w:val="FootnoteReference"/>
        </w:rPr>
        <w:footnoteRef/>
      </w:r>
      <w:r>
        <w:t xml:space="preserve"> </w:t>
      </w:r>
      <w:r>
        <w:t xml:space="preserve">一般要求数据集含有至少预测变量5——10倍的样本</w:t>
      </w:r>
    </w:p>
  </w:footnote>
  <w:footnote w:id="69">
    <w:p>
      <w:pPr>
        <w:pStyle w:val="FootnoteText"/>
      </w:pPr>
      <w:r>
        <w:rPr>
          <w:rStyle w:val="FootnoteReference"/>
        </w:rPr>
        <w:footnoteRef/>
      </w:r>
      <w:r>
        <w:t xml:space="preserve"> </w:t>
      </w:r>
      <w:r>
        <w:t xml:space="preserve">重抽样 50 次：10 折交叉验证重复 5 次</w:t>
      </w:r>
    </w:p>
  </w:footnote>
  <w:footnote w:id="74">
    <w:p>
      <w:pPr>
        <w:pStyle w:val="FootnoteText"/>
      </w:pPr>
      <w:r>
        <w:rPr>
          <w:rStyle w:val="FootnoteReference"/>
        </w:rPr>
        <w:footnoteRef/>
      </w:r>
      <w:r>
        <w:t xml:space="preserve"> </w:t>
      </w:r>
      <w:r>
        <w:t xml:space="preserve">在 90% 置信区间下</w:t>
      </w:r>
    </w:p>
  </w:footnote>
  <w:footnote w:id="75">
    <w:p>
      <w:pPr>
        <w:pStyle w:val="FootnoteText"/>
      </w:pPr>
      <w:r>
        <w:rPr>
          <w:rStyle w:val="FootnoteReference"/>
        </w:rPr>
        <w:footnoteRef/>
      </w:r>
      <w:r>
        <w:t xml:space="preserve"> </w:t>
      </w:r>
      <w:r>
        <w:t xml:space="preserve">（two factor theory）亦称</w:t>
      </w:r>
      <w:r>
        <w:t xml:space="preserve">“</w:t>
      </w:r>
      <w:r>
        <w:t xml:space="preserve">激励一保健理论</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7" Target="http://archive.ics.uci.edu/ml/datasets/Online+Shoppers+Purchasing+Intention+Dataset#" TargetMode="External" /></Relationships>
</file>

<file path=word/_rels/footnotes.xml.rels><?xml version="1.0" encoding="UTF-8"?>
<Relationships xmlns="http://schemas.openxmlformats.org/package/2006/relationships"><Relationship Type="http://schemas.openxmlformats.org/officeDocument/2006/relationships/hyperlink" Id="rId27" Target="http://archive.ics.uci.edu/ml/datasets/Online+Shoppers+Purchasing+Inten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2020-11-29T15:50:34Z</dcterms:created>
  <dcterms:modified xsi:type="dcterms:W3CDTF">2020-11-29T15:50:34Z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lassoption">
    <vt:lpwstr>hyperref,</vt:lpwstr>
  </property>
  <property fmtid="{D5CDD505-2E9C-101B-9397-08002B2CF9AE}" pid="4" name="csl">
    <vt:lpwstr>chinese-gb7714-2005-numeric.csl</vt:lpwstr>
  </property>
  <property fmtid="{D5CDD505-2E9C-101B-9397-08002B2CF9AE}" pid="5" name="documentclass">
    <vt:lpwstr>ctexart</vt:lpwstr>
  </property>
  <property fmtid="{D5CDD505-2E9C-101B-9397-08002B2CF9AE}" pid="6" name="geometry">
    <vt:lpwstr>margin=1in</vt:lpwstr>
  </property>
  <property fmtid="{D5CDD505-2E9C-101B-9397-08002B2CF9AE}" pid="7" name="header-includes">
    <vt:lpwstr/>
  </property>
  <property fmtid="{D5CDD505-2E9C-101B-9397-08002B2CF9AE}" pid="8" name="logo">
    <vt:lpwstr>cufe.jpg</vt:lpwstr>
  </property>
  <property fmtid="{D5CDD505-2E9C-101B-9397-08002B2CF9AE}" pid="9" name="output">
    <vt:lpwstr/>
  </property>
</Properties>
</file>