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Wu, Hana  Date: 11/20/2022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NYU NetID: yw6775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Section: 001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Professor’s Comments: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Affirmation of my Independent Effort: 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Hana Wu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Lake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Chronic Disease Indicators (CDI) from Centers for Disease Control and Prevention (CDC)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https://chronicdata.cdc.gov/Chronic-Disease-Indicators/U-S-Chronic-Disease-Indicators-CDI-/g4ie-h725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Demographic Factors: Gender, Ethnicity, Location, 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YearStart, YearEnd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Type: Alcohol, Arthritis, Cancer, Cardiovascular Disease, Chronic Kidney Disease, Chronic Obstructure Pulmonary Disease, Diabetes, Disability, Immunization, Mental Health, Nutrition, Physical Activity, and Weight Status, Older Adults, Oral Health, Overarching Conditions, Reproductive Health, Tobacco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Factors: Questions (e.g. Secondary schools offer less healthy foods than competitive foods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refer to next page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3729" cy="8243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729" cy="824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IBM Insurance industry reference architecture is the best fit for this situation. It is a hybrid cloud architecture and it enables customer acquisition, claims, the customer experience process, and business functions.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https://www.ibm.com/cloud/architecture/architectures/insurance/reference-architecture/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Azure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hronicdata.cdc.gov/Chronic-Disease-Indicators/U-S-Chronic-Disease-Indicators-CDI-/g4ie-h725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ibm.com/cloud/architecture/architectures/insurance/reference-architectur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