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8D4F0">
      <w:pPr>
        <w:spacing w:before="1800"/>
        <w:jc w:val="center"/>
      </w:pPr>
      <w:r>
        <w:rPr>
          <w:rFonts w:ascii="微软雅黑" w:hAnsi="微软雅黑" w:eastAsia="微软雅黑"/>
          <w:b/>
          <w:color w:val="17365D"/>
          <w:sz w:val="52"/>
        </w:rPr>
        <w:t>RK3588 YOLOv8 空货架模型</w:t>
      </w:r>
    </w:p>
    <w:p w14:paraId="37F01698">
      <w:pPr>
        <w:spacing w:before="140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技术版PPT全部参数解释</w:t>
      </w:r>
    </w:p>
    <w:p w14:paraId="1D584D76">
      <w:r>
        <w:br w:type="page"/>
      </w:r>
    </w:p>
    <w:p w14:paraId="47BD9BF9">
      <w:pPr>
        <w:pStyle w:val="3"/>
        <w:keepNext/>
        <w:spacing w:before="180" w:after="100"/>
      </w:pPr>
      <w:r>
        <w:t>第1页：准确率指标的完整解释</w:t>
      </w:r>
    </w:p>
    <w:p w14:paraId="2DF5C4D4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1</w:t>
      </w:r>
      <w:r>
        <w:t>.1 IoU：理解mAP之前必须知道的重合度</w:t>
      </w:r>
    </w:p>
    <w:p w14:paraId="2F4DAAE9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目标检测不仅要判断“有没有空货架”，还要用一个矩形框定位空货架的位置。IoU（Intersection over Union，交并比）衡量预测框与人工真实框的重合程度。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4520"/>
        <w:gridCol w:w="3391"/>
      </w:tblGrid>
      <w:tr w14:paraId="30179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85A3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IoU情况</w:t>
            </w:r>
          </w:p>
        </w:tc>
        <w:tc>
          <w:tcPr>
            <w:tcW w:w="453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F896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直观理解</w:t>
            </w:r>
          </w:p>
        </w:tc>
        <w:tc>
          <w:tcPr>
            <w:tcW w:w="340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5E50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评价</w:t>
            </w:r>
          </w:p>
        </w:tc>
      </w:tr>
      <w:tr w14:paraId="21F52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C058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IoU接近1.0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D793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预测框与真实框高度重合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92BC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定位准确</w:t>
            </w:r>
          </w:p>
        </w:tc>
      </w:tr>
      <w:tr w14:paraId="1A63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6B28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IoU约0.5</w:t>
            </w:r>
          </w:p>
        </w:tc>
        <w:tc>
          <w:tcPr>
            <w:tcW w:w="4535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80DF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预测框与真实框有一半以上重合</w:t>
            </w:r>
          </w:p>
        </w:tc>
        <w:tc>
          <w:tcPr>
            <w:tcW w:w="340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6C2B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通常可认为基本检测正确</w:t>
            </w:r>
          </w:p>
        </w:tc>
      </w:tr>
      <w:tr w14:paraId="14A3A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EC6D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IoU很低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8056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框偏离目标或只覆盖很小部分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E4B9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定位质量差</w:t>
            </w:r>
          </w:p>
        </w:tc>
      </w:tr>
    </w:tbl>
    <w:p w14:paraId="1BF8AAFA">
      <w:pPr>
        <w:spacing w:after="0"/>
      </w:pPr>
    </w:p>
    <w:p w14:paraId="5442673E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公式可以写成：IoU = 预测框与真实框的交集面积 ÷ 两个框的并集面积。演讲时不需要展开复杂计算，只要说明“框重合越多，IoU越高”即可。</w:t>
      </w:r>
    </w:p>
    <w:p w14:paraId="22B37DD6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1</w:t>
      </w:r>
      <w:r>
        <w:t>.2 Precision=0.920：预测出来的结果有多可信</w:t>
      </w:r>
    </w:p>
    <w:p w14:paraId="4FC85AF1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Precision（精确率）回答的问题是：“模型判断为空货架的结果中，有多少是真的空货架？”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5285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CD00CB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65D"/>
                <w:sz w:val="22"/>
              </w:rPr>
              <w:t>小白例子</w:t>
            </w:r>
          </w:p>
          <w:p w14:paraId="3EF3E354">
            <w:pPr>
              <w:spacing w:after="0" w:line="312" w:lineRule="auto"/>
            </w:pPr>
            <w:r>
              <w:rPr>
                <w:rFonts w:ascii="微软雅黑" w:hAnsi="微软雅黑" w:eastAsia="微软雅黑"/>
                <w:sz w:val="21"/>
              </w:rPr>
              <w:t>模型报警100次，其中92次经人工确认确实是缺货，8次属于误报，则Precision约为92%。</w:t>
            </w:r>
          </w:p>
        </w:tc>
      </w:tr>
    </w:tbl>
    <w:p w14:paraId="0F6581BB">
      <w:pPr>
        <w:spacing w:after="0"/>
      </w:pPr>
    </w:p>
    <w:p w14:paraId="2777616E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Precision高，说明误报警相对少。在商超场景中，误报会导致工作人员无效补货、频繁查看监控或对系统失去信任。</w:t>
      </w:r>
    </w:p>
    <w:p w14:paraId="488404A8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公式：Precision = TP ÷ (TP + FP)。其中TP是真正例，FP是假正例。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4EF4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DCD86F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65D"/>
                <w:sz w:val="22"/>
              </w:rPr>
              <w:t>可以直接讲</w:t>
            </w:r>
          </w:p>
          <w:p w14:paraId="336A0BF4">
            <w:pPr>
              <w:spacing w:after="0" w:line="312" w:lineRule="auto"/>
            </w:pPr>
            <w:r>
              <w:rPr>
                <w:rFonts w:ascii="微软雅黑" w:hAnsi="微软雅黑" w:eastAsia="微软雅黑"/>
                <w:sz w:val="21"/>
              </w:rPr>
              <w:t>当前最终Precision为0.920，表示模型输出的缺货检测结果整体可信度较高。但业务误报率仍需在真实门店中按“误报/小时、误报/货架”重新统计。</w:t>
            </w:r>
          </w:p>
        </w:tc>
      </w:tr>
    </w:tbl>
    <w:p w14:paraId="5EB7C6D0">
      <w:pPr>
        <w:spacing w:after="0"/>
      </w:pPr>
    </w:p>
    <w:p w14:paraId="169FF523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1</w:t>
      </w:r>
      <w:r>
        <w:t>.3 Recall=0.837：真实缺货被找到了多少</w:t>
      </w:r>
    </w:p>
    <w:p w14:paraId="4516A051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Recall（召回率）回答的问题是：“现实中真正存在的空货架，模型发现了多少？”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B525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7120F1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65D"/>
                <w:sz w:val="22"/>
              </w:rPr>
              <w:t>小白例子</w:t>
            </w:r>
          </w:p>
          <w:p w14:paraId="6AB64000">
            <w:pPr>
              <w:spacing w:after="0" w:line="312" w:lineRule="auto"/>
            </w:pPr>
            <w:r>
              <w:rPr>
                <w:rFonts w:ascii="微软雅黑" w:hAnsi="微软雅黑" w:eastAsia="微软雅黑"/>
                <w:sz w:val="21"/>
              </w:rPr>
              <w:t>真实存在100个缺货区域，模型检测出84个、漏掉16个，则Recall约为84%。</w:t>
            </w:r>
          </w:p>
        </w:tc>
      </w:tr>
    </w:tbl>
    <w:p w14:paraId="065C2C58">
      <w:pPr>
        <w:spacing w:after="0"/>
      </w:pPr>
    </w:p>
    <w:p w14:paraId="45B5318F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Recall高，说明漏检少。对缺货检测来说，漏检可能导致货架长时间未补货，因此Recall通常是重要业务指标。</w:t>
      </w:r>
    </w:p>
    <w:p w14:paraId="5AFA72B4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公式：Recall = TP ÷ (TP + FN)。其中FN是假负例，也就是漏掉的真实目标。</w:t>
      </w:r>
    </w:p>
    <w:p w14:paraId="1EC68AAE">
      <w:pPr>
        <w:spacing w:after="0"/>
      </w:pPr>
    </w:p>
    <w:p w14:paraId="1CE7D482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1</w:t>
      </w:r>
      <w:r>
        <w:t>.4 Precision和Recall为什么经常互相拉扯</w:t>
      </w:r>
    </w:p>
    <w:p w14:paraId="6EC402A0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当置信度阈值降低时，模型更愿意报警，通常Recall会上升，但FP也可能增加，Precision可能下降。当阈值提高时，模型更谨慎，Precision可能上升，但会漏掉更多目标，Recall可能下降。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4239"/>
        <w:gridCol w:w="3391"/>
      </w:tblGrid>
      <w:tr w14:paraId="3BCE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A83C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阈值策略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2462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可能结果</w:t>
            </w:r>
          </w:p>
        </w:tc>
        <w:tc>
          <w:tcPr>
            <w:tcW w:w="340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FAFB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适合场景</w:t>
            </w:r>
          </w:p>
        </w:tc>
      </w:tr>
      <w:tr w14:paraId="102A5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9715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阈值较低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1764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多报一些，漏检减少；误报可能增加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6A67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宁可多检查，也不能漏掉重要缺货</w:t>
            </w:r>
          </w:p>
        </w:tc>
      </w:tr>
      <w:tr w14:paraId="0479A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64A5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阈值较高</w:t>
            </w:r>
          </w:p>
        </w:tc>
        <w:tc>
          <w:tcPr>
            <w:tcW w:w="425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A1FC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报警更谨慎，误报减少；漏检可能增加</w:t>
            </w:r>
          </w:p>
        </w:tc>
        <w:tc>
          <w:tcPr>
            <w:tcW w:w="340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6243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人工处理成本高，需要减少无效报警</w:t>
            </w:r>
          </w:p>
        </w:tc>
      </w:tr>
      <w:tr w14:paraId="49531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798F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通过验证集校准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428F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在Precision和Recall之间取得平衡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726E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当前项目推荐做法</w:t>
            </w:r>
          </w:p>
        </w:tc>
      </w:tr>
    </w:tbl>
    <w:p w14:paraId="71E222C7">
      <w:pPr>
        <w:spacing w:after="0"/>
      </w:pPr>
    </w:p>
    <w:p w14:paraId="4067E6A4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1</w:t>
      </w:r>
      <w:r>
        <w:t>.5 F1=0.88，阈值≈0.616：精确率与召回率的折中点</w:t>
      </w:r>
    </w:p>
    <w:p w14:paraId="265792B2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F1分数是Precision和Recall的调和平均，用于评价两者是否均衡。只有Precision高而Recall很低，或Recall高而Precision很低，F1都不会很高。</w:t>
      </w:r>
    </w:p>
    <w:p w14:paraId="2A9C9FDF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公式：F1 = 2 × Precision × Recall ÷ (Precision + Recall)。</w:t>
      </w:r>
    </w:p>
    <w:p w14:paraId="16977A81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PPT中的best F1=0.88、阈值≈0.616表示：在验证集中，当置信度门槛设在约0.616时，Precision和Recall的综合平衡最好。</w:t>
      </w:r>
    </w:p>
    <w:p w14:paraId="670D69F1">
      <w:pPr>
        <w:spacing w:after="0"/>
      </w:pPr>
    </w:p>
    <w:p w14:paraId="0467D2C2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1</w:t>
      </w:r>
      <w:r>
        <w:t>.6 best mAP@0.5=0.916：基本定位条件下的综合性能</w:t>
      </w:r>
    </w:p>
    <w:p w14:paraId="23E6115D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mAP@0.5表示在IoU阈值为0.5时计算得到的平均精度。因为当前只有一个类别，所以它基本反映空货架这一类的综合检测效果。0.916可理解为在较宽松定位标准下，模型取得了较好的综合检测能力。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CEE3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7BA17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65D"/>
                <w:sz w:val="22"/>
              </w:rPr>
              <w:t>不能简单说成“准确率91.6%”</w:t>
            </w:r>
          </w:p>
          <w:p w14:paraId="5EC24BEF">
            <w:pPr>
              <w:spacing w:after="0" w:line="312" w:lineRule="auto"/>
            </w:pPr>
            <w:r>
              <w:rPr>
                <w:rFonts w:ascii="微软雅黑" w:hAnsi="微软雅黑" w:eastAsia="微软雅黑"/>
                <w:sz w:val="21"/>
              </w:rPr>
              <w:t>mAP不是普通分类准确率，也不是“100张里准确91.6张”。它综合考虑不同置信度阈值下的Precision-Recall表现以及检测框定位质量。</w:t>
            </w:r>
          </w:p>
        </w:tc>
      </w:tr>
    </w:tbl>
    <w:p w14:paraId="7ED844C9">
      <w:pPr>
        <w:spacing w:after="0"/>
      </w:pPr>
    </w:p>
    <w:p w14:paraId="1B17B82B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1</w:t>
      </w:r>
      <w:r>
        <w:t>.7 best mAP@0.5:0.95=0.701：更严格的定位质量</w:t>
      </w:r>
    </w:p>
    <w:p w14:paraId="018887A3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mAP@0.5:0.95会在IoU=0.50、0.55、0.60……0.95多个严格程度下分别计算AP，然后取平均。随着IoU要求提高，预测框必须越来越贴合真实框，因此该指标通常明显低于mAP50。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1928"/>
        <w:gridCol w:w="3271"/>
        <w:gridCol w:w="2737"/>
      </w:tblGrid>
      <w:tr w14:paraId="3FE3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F329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w="198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2B1F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当前最佳值</w:t>
            </w:r>
          </w:p>
        </w:tc>
        <w:tc>
          <w:tcPr>
            <w:tcW w:w="340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A8CB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评价重点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58BA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为什么数值不同</w:t>
            </w:r>
          </w:p>
        </w:tc>
      </w:tr>
      <w:tr w14:paraId="328CF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6F7B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mAP@0.5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D55C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0.916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F0EB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目标是否被基本发现并框住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9921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IoU要求较宽松</w:t>
            </w:r>
          </w:p>
        </w:tc>
      </w:tr>
      <w:tr w14:paraId="31402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835D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mAP@0.5:0.95</w:t>
            </w:r>
          </w:p>
        </w:tc>
        <w:tc>
          <w:tcPr>
            <w:tcW w:w="1984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48E6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0.701</w:t>
            </w:r>
          </w:p>
        </w:tc>
        <w:tc>
          <w:tcPr>
            <w:tcW w:w="340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D257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预测框是否在多种严格标准下都准确</w:t>
            </w:r>
          </w:p>
        </w:tc>
        <w:tc>
          <w:tcPr>
            <w:tcW w:w="2835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9EE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包含高IoU要求，定位难度更高</w:t>
            </w:r>
          </w:p>
        </w:tc>
      </w:tr>
    </w:tbl>
    <w:p w14:paraId="2D387812">
      <w:pPr>
        <w:spacing w:after="0"/>
      </w:pPr>
    </w:p>
    <w:p w14:paraId="66A5D573">
      <w:pPr>
        <w:spacing w:after="0"/>
      </w:pPr>
    </w:p>
    <w:p w14:paraId="25C4BB2B">
      <w:pPr>
        <w:pStyle w:val="3"/>
        <w:bidi w:val="0"/>
      </w:pPr>
      <w:r>
        <w:rPr>
          <w:rFonts w:hint="eastAsia" w:eastAsia="宋体"/>
          <w:lang w:val="en-US" w:eastAsia="zh-CN"/>
        </w:rPr>
        <w:t>二</w:t>
      </w:r>
      <w:r>
        <w:t>、第1页：训练轮次、早停和曲线参数</w:t>
      </w:r>
    </w:p>
    <w:p w14:paraId="79609E63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2</w:t>
      </w:r>
      <w:r>
        <w:t>.1 epochs：计划训练轮数（PPT字段需核验）</w:t>
      </w:r>
    </w:p>
    <w:p w14:paraId="547DF1D9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epoch表示模型完整看完一次训练集。PPT文字写计划200轮，但内嵌曲线只记录到68轮。轮数太少可能未充分学习，轮数太多可能过拟合。正式汇报前应查看训练命令、args.yaml或日志确认计划轮数；如果原训练确实设置为100轮，则PPT中的200需要改正。</w:t>
      </w:r>
    </w:p>
    <w:p w14:paraId="1035113F">
      <w:pPr>
        <w:pStyle w:val="4"/>
        <w:keepNext/>
        <w:spacing w:before="120" w:after="100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2</w:t>
      </w:r>
      <w:r>
        <w:t>.2 best mAP50=0.916：峰值轮次存在PPT文字矛盾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单独解释</w:t>
      </w:r>
      <w:r>
        <w:rPr>
          <w:rFonts w:hint="eastAsia" w:eastAsia="宋体"/>
          <w:lang w:eastAsia="zh-CN"/>
        </w:rPr>
        <w:t>）</w:t>
      </w:r>
    </w:p>
    <w:p w14:paraId="38562BFB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PPT卡片写“第120轮达到峰值”，但同一页可编辑曲线的横轴显示mAP50=0.916出现在第20轮，曲线也只延伸到第68轮。因此“第120轮”很可能是文字录入错误。正式演讲时不要直接背“第120轮”，应先核对results.csv；若原始数据与曲线一致，应改为“第20轮达到mAP50峰值0.916”。best.pt通常依据内部综合fitness保存，最佳mAP50轮次与best.pt保存轮次也可能不完全相同。</w:t>
      </w:r>
    </w:p>
    <w:p w14:paraId="6FF5CF20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2</w:t>
      </w:r>
      <w:r>
        <w:t>.3 早停与patience=25：PPT写168/200，但曲线到68</w:t>
      </w:r>
    </w:p>
    <w:p w14:paraId="4F4BD52B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早停（Early Stopping）是一种防止无效训练和过拟合的机制。patience=25表示：如果验证指标连续25轮没有出现足够改善，训练就提前结束。PPT文字写168/200，但同页曲线最后一个横轴是68，二者明显不一致。更稳妥的理解是“训练在第68轮左右结束，patience=25”，但最终必须以训练日志确认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B74E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0E3FC0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65D"/>
                <w:sz w:val="22"/>
              </w:rPr>
              <w:t>为什么不能直接按峰值轮次+25计算停止轮次？</w:t>
            </w:r>
          </w:p>
          <w:p w14:paraId="2DA6CDBA">
            <w:pPr>
              <w:spacing w:after="0" w:line="312" w:lineRule="auto"/>
            </w:pPr>
            <w:r>
              <w:rPr>
                <w:rFonts w:ascii="微软雅黑" w:hAnsi="微软雅黑" w:eastAsia="微软雅黑"/>
                <w:sz w:val="21"/>
              </w:rPr>
              <w:t>早停通常监控综合fitness或其他验证指标，不一定只看mAP50；此外小幅改善会重新计数。因此即使确认峰值轮次，也不能简单相加推断停止轮次。</w:t>
            </w:r>
          </w:p>
        </w:tc>
      </w:tr>
    </w:tbl>
    <w:p w14:paraId="2FD7B8BE">
      <w:pPr>
        <w:spacing w:after="0"/>
      </w:pPr>
    </w:p>
    <w:p w14:paraId="13CAC7F0">
      <w:pPr>
        <w:pStyle w:val="16"/>
        <w:spacing w:after="60" w:line="300" w:lineRule="auto"/>
      </w:pPr>
      <w:r>
        <w:rPr>
          <w:rFonts w:ascii="微软雅黑" w:hAnsi="微软雅黑" w:eastAsia="微软雅黑"/>
          <w:sz w:val="21"/>
        </w:rPr>
        <w:t>早停不是训练失败，而是系统判断继续训练收益有限。</w:t>
      </w:r>
    </w:p>
    <w:p w14:paraId="6D423DDD">
      <w:pPr>
        <w:pStyle w:val="16"/>
        <w:spacing w:after="60" w:line="300" w:lineRule="auto"/>
      </w:pPr>
      <w:r>
        <w:rPr>
          <w:rFonts w:ascii="微软雅黑" w:hAnsi="微软雅黑" w:eastAsia="微软雅黑"/>
          <w:sz w:val="21"/>
        </w:rPr>
        <w:t>早停可以节省GPU时间，并降低过拟合风险。</w:t>
      </w:r>
    </w:p>
    <w:p w14:paraId="4B144BF7">
      <w:pPr>
        <w:pStyle w:val="16"/>
        <w:spacing w:after="60" w:line="300" w:lineRule="auto"/>
      </w:pPr>
      <w:r>
        <w:rPr>
          <w:rFonts w:ascii="微软雅黑" w:hAnsi="微软雅黑" w:eastAsia="微软雅黑"/>
          <w:sz w:val="21"/>
        </w:rPr>
        <w:t>best.pt与last.pt不同：best.pt用于部署和对比，last.pt主要保留最后一轮状态。</w:t>
      </w:r>
    </w:p>
    <w:p w14:paraId="5BB9D04A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2</w:t>
      </w:r>
      <w:r>
        <w:t>.4 results.csv：训练指标的数据来源</w:t>
      </w:r>
    </w:p>
    <w:p w14:paraId="187C1BE4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results.csv通常记录每个epoch的训练损失、验证损失、Precision、Recall、mAP50和mAP50:0.95等指标。PPT中的可编辑曲线和“最终Precision=0.920、Recall=0.837、mAP50=0.908”来自该文件的最终记录；“最佳mAP50=0.916”来自训练期间的峰值。</w:t>
      </w:r>
    </w:p>
    <w:p w14:paraId="2DEB9B4B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2</w:t>
      </w:r>
      <w:r>
        <w:t>.5 训练曲线应该怎么讲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3953"/>
        <w:gridCol w:w="3955"/>
      </w:tblGrid>
      <w:tr w14:paraId="37414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1C8B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曲线</w:t>
            </w:r>
          </w:p>
        </w:tc>
        <w:tc>
          <w:tcPr>
            <w:tcW w:w="396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94D2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观察重点</w:t>
            </w:r>
          </w:p>
        </w:tc>
        <w:tc>
          <w:tcPr>
            <w:tcW w:w="396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7E01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当前PPT含义</w:t>
            </w:r>
          </w:p>
        </w:tc>
      </w:tr>
      <w:tr w14:paraId="67FE9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8B5C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mAP@0.5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333F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是否快速提升后趋于稳定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6844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前期从0.612快速提升，约20轮达到0.916峰值，后续维持约0.90</w:t>
            </w:r>
          </w:p>
        </w:tc>
      </w:tr>
      <w:tr w14:paraId="1F7B9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7F21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mAP@0.5:0.95</w:t>
            </w:r>
          </w:p>
        </w:tc>
        <w:tc>
          <w:tcPr>
            <w:tcW w:w="3969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378A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严格定位能力是否持续提升</w:t>
            </w:r>
          </w:p>
        </w:tc>
        <w:tc>
          <w:tcPr>
            <w:tcW w:w="3969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8998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从0.341提升到约0.70，后期趋于平台</w:t>
            </w:r>
          </w:p>
        </w:tc>
      </w:tr>
      <w:tr w14:paraId="5299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9DB5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Precision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85DA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误报控制是否稳定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A78C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后期约0.92上下波动</w:t>
            </w:r>
          </w:p>
        </w:tc>
      </w:tr>
      <w:tr w14:paraId="69951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539F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Recall</w:t>
            </w:r>
          </w:p>
        </w:tc>
        <w:tc>
          <w:tcPr>
            <w:tcW w:w="3969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51A1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漏检情况是否改善</w:t>
            </w:r>
          </w:p>
        </w:tc>
        <w:tc>
          <w:tcPr>
            <w:tcW w:w="3969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B7D0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后期约0.82-0.85，仍是下一步主要提升方向</w:t>
            </w:r>
          </w:p>
        </w:tc>
      </w:tr>
    </w:tbl>
    <w:p w14:paraId="5A638915">
      <w:pPr>
        <w:spacing w:after="0"/>
      </w:pPr>
    </w:p>
    <w:p w14:paraId="7D821A6D">
      <w:pPr>
        <w:pStyle w:val="3"/>
        <w:keepNext/>
        <w:spacing w:before="180" w:after="100"/>
      </w:pPr>
      <w:r>
        <w:rPr>
          <w:rFonts w:hint="eastAsia" w:eastAsia="宋体"/>
          <w:lang w:val="en-US" w:eastAsia="zh-CN"/>
        </w:rPr>
        <w:t>三</w:t>
      </w:r>
      <w:r>
        <w:t>、第1页：PR曲线、混淆矩阵和误检漏检</w:t>
      </w:r>
    </w:p>
    <w:p w14:paraId="145B4013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3</w:t>
      </w:r>
      <w:r>
        <w:t>.1 PR曲线是什么</w:t>
      </w:r>
    </w:p>
    <w:p w14:paraId="4ADDD45B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PR曲线以Recall为横轴、Precision为纵轴，展示在不同置信度阈值下，误报与漏报之间的权衡。曲线越靠近右上角，表示模型在保持高Recall的同时仍有高Precision。AP是PR曲线下面积，mAP是各类别AP的平均。当前只有一个类别，因此mAP主要来自OOS类别。</w:t>
      </w:r>
    </w:p>
    <w:p w14:paraId="36575A51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3</w:t>
      </w:r>
      <w:r>
        <w:t>.2 TP=533：真正例</w:t>
      </w:r>
    </w:p>
    <w:p w14:paraId="75E31811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TP（True Positive）表示真实存在空货架，模型也正确检测到了。TP越多，说明模型有效检出的目标越多。</w:t>
      </w:r>
    </w:p>
    <w:p w14:paraId="76B660E0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3</w:t>
      </w:r>
      <w:r>
        <w:t>.3 FP=88：假正例，也就是误报</w:t>
      </w:r>
    </w:p>
    <w:p w14:paraId="7459279D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FP（False Positive）表示实际不是空货架，但模型错误地报成了空货架。常见原因可能包括货架反光、价格标签区域、商品间隙、阴影或类似空位的背景。</w:t>
      </w:r>
    </w:p>
    <w:p w14:paraId="5D86D755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3</w:t>
      </w:r>
      <w:r>
        <w:t>.4 FN=67：假负例，也就是漏报</w:t>
      </w:r>
    </w:p>
    <w:p w14:paraId="0306E23A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FN（False Negative）表示真实存在空货架，但模型没有检测出来。常见原因可能包括空位面积较小、遮挡、拍摄角度过斜、光照太暗、目标被缩小后细节不足等。</w:t>
      </w:r>
    </w:p>
    <w:p w14:paraId="26D545C8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3</w:t>
      </w:r>
      <w:r>
        <w:t>.5 TN为什么是“—”</w:t>
      </w:r>
    </w:p>
    <w:p w14:paraId="64FB38EA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TN（True Negative）在普通二分类中表示“实际不是目标，模型也没有报警”。但目标检测面对的是一张图中近乎无限多的背景位置，无法像普通分类那样自然统计所有正确背景，因此检测混淆矩阵通常不把TN作为主要指标。PPT使用“—”是合理的。</w:t>
      </w:r>
    </w:p>
    <w:p w14:paraId="6EDB2569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3</w:t>
      </w:r>
      <w:r>
        <w:t>.6 为什么混淆矩阵算出的数值和results.csv不完全一致</w:t>
      </w:r>
    </w:p>
    <w:p w14:paraId="44E831C9">
      <w:pPr>
        <w:spacing w:after="0"/>
      </w:pPr>
      <w:r>
        <w:rPr>
          <w:rFonts w:ascii="微软雅黑" w:hAnsi="微软雅黑" w:eastAsia="微软雅黑"/>
        </w:rPr>
        <w:t>用PPT中的计数粗略计算：Recall≈533÷(533+67)=88.8%，Precision≈533÷(533+88)=85.8%。它们与results.csv中的Precision=0.920、Recall=0.837不同。主要原因通常是两者使用的置信度阈值、IoU匹配规则、数据汇总口径或保存时点不同。</w:t>
      </w:r>
    </w:p>
    <w:p w14:paraId="4CF9F92F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3</w:t>
      </w:r>
      <w:r>
        <w:t>.7 “正样本召回接近90%”如何解释</w:t>
      </w:r>
    </w:p>
    <w:p w14:paraId="64ECDDB2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这句话主要对应混淆矩阵中TP=533、FN=67得到的约88.8%正样本召回，因此可以说“接近90%”。但从results.csv最终Recall=83.7%看，当前模型尚未稳定达到业务要求的90%。最严谨的表达是：“在不同评估口径下召回约83.7%-88.8%，仍需通过真实门店数据提升并统一验收口径。”</w:t>
      </w:r>
    </w:p>
    <w:p w14:paraId="2A409F29">
      <w:pPr>
        <w:pStyle w:val="3"/>
        <w:bidi w:val="0"/>
      </w:pPr>
      <w:r>
        <w:t>八、第2页：PT、ONNX、RKNN INT8全部解释</w:t>
      </w:r>
    </w:p>
    <w:p w14:paraId="6E17E070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4</w:t>
      </w:r>
      <w:r>
        <w:t>.1 best.pt：训练后的PyTorch权重</w:t>
      </w:r>
    </w:p>
    <w:p w14:paraId="4CB1D9C8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best.pt是Ultralytics/PyTorch训练得到的最佳模型文件，包含网络权重以及一定的模型配置信息。它适合在训练电脑或PyTorch环境中验证，但不能直接发挥RK3588 NPU的最佳性能。PPT中的大小为5.95MB。</w:t>
      </w:r>
    </w:p>
    <w:p w14:paraId="4D63BDF4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4</w:t>
      </w:r>
      <w:r>
        <w:t>.2 best.onnx：通用模型交换格式</w:t>
      </w:r>
    </w:p>
    <w:p w14:paraId="0E94DC2D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ONNX用于把PyTorch模型转换为较通用的计算图，使后续工具链可以解析网络结构。它是“中间桥梁”，不是最终部署格式。PPT中的大小为11.4MB。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A189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971D02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65D"/>
                <w:sz w:val="22"/>
              </w:rPr>
              <w:t>为什么ONNX比PT更大？</w:t>
            </w:r>
          </w:p>
          <w:p w14:paraId="719FE818">
            <w:pPr>
              <w:spacing w:after="0" w:line="312" w:lineRule="auto"/>
            </w:pPr>
            <w:r>
              <w:rPr>
                <w:rFonts w:ascii="微软雅黑" w:hAnsi="微软雅黑" w:eastAsia="微软雅黑"/>
                <w:sz w:val="21"/>
              </w:rPr>
              <w:t>不同文件格式的序列化方式、元数据、权重存储和压缩方式不同。ONNX变大不代表模型计算量增加，也不代表精度变差。文件大小不能单独判断模型优劣。</w:t>
            </w:r>
          </w:p>
        </w:tc>
      </w:tr>
    </w:tbl>
    <w:p w14:paraId="2DD42C8C">
      <w:pPr>
        <w:spacing w:after="0"/>
      </w:pPr>
    </w:p>
    <w:p w14:paraId="04119982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4</w:t>
      </w:r>
      <w:r>
        <w:t>.3 静态shape：固定输入尺寸</w:t>
      </w:r>
    </w:p>
    <w:p w14:paraId="660ACA30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静态shape表示模型输入张量尺寸固定，例如1×3×640×640。固定尺寸有利于RKNN编译器进行内存规划和算子优化，通常更适合端侧实时部署。代价是不能随意输入不同尺寸，必须在前处理阶段统一调整到640×640。</w:t>
      </w:r>
    </w:p>
    <w:p w14:paraId="6C5BDDAD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4</w:t>
      </w:r>
      <w:r>
        <w:t>.4 int8_best.rknn：RK3588的部署模型</w:t>
      </w:r>
    </w:p>
    <w:p w14:paraId="6A301A80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RKNN是瑞芯微工具链生成的模型格式，面向RK3588的RKNPU运行。它包含经过编译、算子映射和可能量化后的部署图。PPT中的RKNN模型大小为3.86MB。</w:t>
      </w:r>
    </w:p>
    <w:p w14:paraId="1B332D4F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4</w:t>
      </w:r>
      <w:r>
        <w:t>.5 INT8量化：为什么模型更适合端侧</w:t>
      </w:r>
    </w:p>
    <w:p w14:paraId="64378B47">
      <w:pPr>
        <w:spacing w:after="100" w:line="324" w:lineRule="auto"/>
        <w:ind w:firstLine="42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INT8量化把原本常见的32位浮点权重和中间激活近似表示为8位整数，使NPU能够使用更高效的整数运算。</w:t>
      </w:r>
    </w:p>
    <w:p w14:paraId="3CCE088C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4</w:t>
      </w:r>
      <w:r>
        <w:t>.6 模型大小：5.95MB、11.4MB、3.86MB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1697"/>
        <w:gridCol w:w="3953"/>
        <w:gridCol w:w="2258"/>
      </w:tblGrid>
      <w:tr w14:paraId="7A85E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96EC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模型文件</w:t>
            </w:r>
          </w:p>
        </w:tc>
        <w:tc>
          <w:tcPr>
            <w:tcW w:w="170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95BF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大小</w:t>
            </w:r>
          </w:p>
        </w:tc>
        <w:tc>
          <w:tcPr>
            <w:tcW w:w="396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5609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E80E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是否最终部署</w:t>
            </w:r>
          </w:p>
        </w:tc>
      </w:tr>
      <w:tr w14:paraId="4EA99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C6A4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best.pt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A964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5.95MB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A44F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训练结果、PyTorch验证、继续训练/导出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24A3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  <w:tr w14:paraId="04C9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C4F5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best.onnx</w:t>
            </w:r>
          </w:p>
        </w:tc>
        <w:tc>
          <w:tcPr>
            <w:tcW w:w="1701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89FC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11.4MB</w:t>
            </w:r>
          </w:p>
        </w:tc>
        <w:tc>
          <w:tcPr>
            <w:tcW w:w="3969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E2D7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跨框架中间格式、供RKNN工具链读取</w:t>
            </w:r>
          </w:p>
        </w:tc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A86E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  <w:tr w14:paraId="4492F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0B3F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int8_best.rknn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7997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3.86MB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6490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RK3588 NPU端侧推理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2625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</w:tr>
    </w:tbl>
    <w:p w14:paraId="6CBB8CAD">
      <w:pPr>
        <w:spacing w:after="0"/>
      </w:pPr>
    </w:p>
    <w:p w14:paraId="45B87A27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PPT中的PT→RKNN体积下降35.1%，计算为(5.95-3.86)÷5.95；ONNX→RKNN下降66.1%，计算为(11.4-3.86)÷11.4。</w:t>
      </w:r>
    </w:p>
    <w:p w14:paraId="6022220A">
      <w:pPr>
        <w:pStyle w:val="3"/>
        <w:bidi w:val="0"/>
      </w:pPr>
      <w:r>
        <w:rPr>
          <w:rFonts w:hint="eastAsia" w:eastAsia="宋体"/>
          <w:lang w:val="en-US" w:eastAsia="zh-CN"/>
        </w:rPr>
        <w:t>三</w:t>
      </w:r>
      <w:r>
        <w:t>、第2页：RK3588、RKNPU、Runtime和Driver</w:t>
      </w:r>
    </w:p>
    <w:p w14:paraId="07329B2C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3</w:t>
      </w:r>
      <w:r>
        <w:t>.1 RK3588：端侧计算平台</w:t>
      </w:r>
    </w:p>
    <w:p w14:paraId="353127E7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RK3588是本项目的边缘计算主控平台，负责摄像头采集、图像预处理、NPU推理、后处理以及浏览器显示等工作。与云端GPU相比，它的优势是本地实时、可离线和部署成本可控，但资源有限，因此需要轻量模型和量化。</w:t>
      </w:r>
    </w:p>
    <w:p w14:paraId="57F5A498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3</w:t>
      </w:r>
      <w:r>
        <w:t>.2 RKNPU v2：NPU执行环境</w:t>
      </w:r>
    </w:p>
    <w:p w14:paraId="4B72C5CB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RKNPU v2表示当前模型运行在瑞芯微第二代NPU架构对应的软件栈上。NPU专门加速神经网络计算，特别适合卷积、矩阵乘法等操作。它与CPU分工：NPU主要做模型推理，CPU通常处理摄像头、图像转换、后处理和网络显示。</w:t>
      </w:r>
    </w:p>
    <w:p w14:paraId="1134EB44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3</w:t>
      </w:r>
      <w:r>
        <w:t>.3 Runtime 2.0.0：用户态运行库</w:t>
      </w:r>
    </w:p>
    <w:p w14:paraId="41115277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Runtime是应用程序调用RKNN模型时使用的软件库。Python脚本或C/C++程序通过Runtime加载.rknn模型、准备输入、执行推理并取回输出。Runtime版本影响模型兼容性和算子支持。</w:t>
      </w:r>
    </w:p>
    <w:p w14:paraId="637714D1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3</w:t>
      </w:r>
      <w:r>
        <w:t>.4 Driver 0.9.6：内核态NPU驱动</w:t>
      </w:r>
    </w:p>
    <w:p w14:paraId="6FFFDC25">
      <w:pPr>
        <w:spacing w:after="100" w:line="324" w:lineRule="auto"/>
        <w:ind w:firstLine="420"/>
      </w:pPr>
      <w:r>
        <w:rPr>
          <w:rFonts w:ascii="微软雅黑" w:hAnsi="微软雅黑" w:eastAsia="微软雅黑"/>
        </w:rPr>
        <w:t>Driver是Linux内核与NPU硬件之间的驱动程序。Runtime向驱动提交任务，驱动负责与NPU硬件交互。Runtime、Driver和生成模型时使用的Toolkit版本需要兼容，否则可能出现加载失败、性能异常或算子问题。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FED7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8C93C6">
            <w:pPr>
              <w:spacing w:after="0" w:line="312" w:lineRule="auto"/>
            </w:pPr>
            <w:r>
              <w:rPr>
                <w:rFonts w:ascii="微软雅黑" w:hAnsi="微软雅黑" w:eastAsia="微软雅黑"/>
                <w:sz w:val="21"/>
              </w:rPr>
              <w:t>Runtime是应用调用模型的软件库，Driver是系统控制NPU硬件的驱动。两个版本共同决定模型能否稳定运行。</w:t>
            </w:r>
          </w:p>
        </w:tc>
      </w:tr>
    </w:tbl>
    <w:p w14:paraId="3B1B8EB1">
      <w:pPr>
        <w:spacing w:after="0"/>
      </w:pPr>
    </w:p>
    <w:p w14:paraId="791A7159">
      <w:pPr>
        <w:pStyle w:val="4"/>
        <w:keepNext/>
        <w:spacing w:before="120" w:after="100"/>
      </w:pPr>
      <w:r>
        <w:rPr>
          <w:rFonts w:hint="eastAsia" w:eastAsia="宋体"/>
          <w:lang w:val="en-US" w:eastAsia="zh-CN"/>
        </w:rPr>
        <w:t>3</w:t>
      </w:r>
      <w:r>
        <w:t>.5 双IMX219：双摄输入</w:t>
      </w:r>
    </w:p>
    <w:p w14:paraId="21C3993D">
      <w:pPr>
        <w:spacing w:after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双IMX219表示系统同时接入两路摄像头。PPT中的双路测试用于验证同一块RK3588能否接收两路视频并运行检测。双摄不代表模型是双目深度模型；当前主要是两路独立图像分别检测。</w:t>
      </w:r>
    </w:p>
    <w:p w14:paraId="4C3E1F9E">
      <w:pPr>
        <w:spacing w:after="0"/>
        <w:rPr>
          <w:rFonts w:ascii="微软雅黑" w:hAnsi="微软雅黑" w:eastAsia="微软雅黑"/>
        </w:rPr>
      </w:pPr>
    </w:p>
    <w:p w14:paraId="6394BF64">
      <w:pPr>
        <w:pStyle w:val="3"/>
        <w:keepNext/>
        <w:spacing w:before="180" w:after="100"/>
      </w:pPr>
      <w:r>
        <w:t>十四、两页PPT详细演讲稿</w:t>
      </w:r>
      <w:bookmarkStart w:id="0" w:name="_GoBack"/>
      <w:bookmarkEnd w:id="0"/>
    </w:p>
    <w:p w14:paraId="7CD9FF8E">
      <w:pPr>
        <w:pStyle w:val="4"/>
        <w:keepNext/>
        <w:spacing w:before="120" w:after="100"/>
      </w:pPr>
      <w:r>
        <w:t>14.1 第1页演讲稿：训练流程与阶段性指标（约4-5分钟）</w:t>
      </w:r>
    </w:p>
    <w:p w14:paraId="4BD1FBAC">
      <w:pPr>
        <w:spacing w:line="360" w:lineRule="auto"/>
      </w:pPr>
      <w:r>
        <w:rPr>
          <w:rFonts w:ascii="微软雅黑" w:hAnsi="微软雅黑" w:eastAsia="微软雅黑"/>
          <w:sz w:val="21"/>
        </w:rPr>
        <w:t>这一页主要汇报空货架检测模型的训练流程和阶段性精度结果。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首先看任务定义。当前模型采用单类别检测，类别名称为100-O-O-S，主要识别商超货架中的空位和缺货区域。当前数据集一共497张，其中350张用于训练，97张用于验证，50张用于测试。训练集用于让模型学习特征，验证集用于观察训练过程中Precision、Recall和mAP的变化，测试集用于训练完成后的独立评估。当前数据规模主要用于建立Baseline和验证端侧部署可行性，后续还需要补充真实门店数据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模型采用YOLOv8n，主要原因是项目最终部署在RK3588边缘设备，并且需要处理双路摄像头，因此不能只追求最高精度，还要考虑模型大小和实时性。YOLOv8n是轻量版本，适合先建立端侧基线。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训练时模型输入尺寸为640乘640，batch为24。640是精度和速度之间的折中；batch=24表示训练时每次用24张图片进行一次梯度更新，它只影响训练过程，不代表部署速度。这里需要特别说明：PPT文字写第20轮达到峰值、68</w:t>
      </w:r>
      <w:r>
        <w:rPr>
          <w:rFonts w:hint="eastAsia"/>
          <w:sz w:val="21"/>
          <w:lang w:val="en-US" w:eastAsia="zh-CN"/>
        </w:rPr>
        <w:t>/1</w:t>
      </w:r>
      <w:r>
        <w:rPr>
          <w:rFonts w:ascii="微软雅黑" w:hAnsi="微软雅黑" w:eastAsia="微软雅黑"/>
          <w:sz w:val="21"/>
        </w:rPr>
        <w:t>00早停。patience为25的含义是验证指标连续25轮没有明显改善后自动停止。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从精度指标看，最佳mAP50为0.916，表示在IoU为0.5的条件下，模型具有较好的综合检测能力。更严格的mAP50到95为0.701，因为它要求预测框在多个更高IoU阈值下仍然准确，所以数值低于mAP50是正常的。最佳F1为0.88，对应置信度阈值约0.616，说明这个阈值附近Precision和Recall的平衡最好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最终results.csv中Precision为0.920，Recall为0.837，mAP50为0.908。Precision反映模型报警结果中有多少是真的，Recall反映真实缺货中有多少被发现。当前Precision较好，但Recall仍是下一阶段重点。混淆矩阵中TP为533，FP为88，FN为67，用于直观看误报和漏报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需求清单要求缺货检出率不低于90%、误报率不高于5%，当前结果属于阶段性Baseline，还不能直接认为已经完成业务验收。下一步应优先增加真实门店的正常货架、困难负样本和漏检场景，然后重新训练和校准置信度阈值，并按门店级漏报率、误报每小时进行验证。</w:t>
      </w:r>
      <w:r>
        <w:rPr>
          <w:rFonts w:ascii="微软雅黑" w:hAnsi="微软雅黑" w:eastAsia="微软雅黑"/>
          <w:sz w:val="21"/>
        </w:rPr>
        <w:br w:type="textWrapping"/>
      </w:r>
    </w:p>
    <w:p w14:paraId="52E382FF">
      <w:pPr>
        <w:pStyle w:val="4"/>
        <w:keepNext/>
        <w:spacing w:before="120" w:after="100"/>
      </w:pPr>
      <w:r>
        <w:t>14.2 第2页演讲稿：模型转换与端侧基线（约4分钟）</w:t>
      </w:r>
    </w:p>
    <w:p w14:paraId="0A786227">
      <w:pPr>
        <w:spacing w:line="360" w:lineRule="auto"/>
      </w:pPr>
      <w:r>
        <w:rPr>
          <w:rFonts w:ascii="微软雅黑" w:hAnsi="微软雅黑" w:eastAsia="微软雅黑"/>
          <w:sz w:val="21"/>
        </w:rPr>
        <w:t>这一页主要汇报模型从训练格式转换到RK3588部署格式的过程，以及双摄端侧运行性能。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训练完成后首先得到best.pt，大小为5.95MB，这是PyTorch训练权重。为了让瑞芯微工具链能够解析模型，先转换为ONNX中间格式，大小为11.4MB。ONNX文件比PT大并不代表模型变差，主要是文件格式和存储方式不同。随后通过RKNN工具链将ONNX转换为int8_best.rknn，大小为3.86MB，并部署到RK3588的RKNPU 上运行。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当前模型采用静态输入shape，也就是固定为640乘640，这有利于RKNN编译器进行内存规划和NPU优化。INT8量化把浮点计算近似转换为8位整数计算，可以降低部署文件体积和端侧计算成本，但量化是否损失精度仍需要通过量化前后的统一测试证明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从模型文件大小看，PT到RKNN下降约35.1%，ONNX到RKNN下降约66.1%。这些数字反映部署文件体积变化，但不同格式不能完全等同为网络参数压缩率。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端侧测试中，单次NPU推理约12毫秒，说明模型核心计算具备实时能力。双路推理总吞吐为33.37FPS，这是左右两路合计，不是每一路都达到33FPS。两路摄像头各自采集约29.95FPS，浏览器显示约11.43FPS。三者统计对象不同：采集FPS代表摄像头输入，推理FPS代表模型处理次数，显示FPS代表编码、网络传输和浏览器刷新后的最终画面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资源方面，CPU平均约50.88%，进程RSS约342MB，最高温度约35.15摄氏度。RSS是整个程序运行时的内存，不等于3.86MB模型文件。结合12毫秒推理和11.43显示FPS可以判断，当前瓶颈更多在图像前后处理、编码、网络显示和数据通路，而不是NPU模型计算。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运行配置方面，左相机使用/dev/video22，右相机使用/dev/video31，采集分辨率为1920乘1080、每路约30FPS，进入模型前统一处理为640乘640。当前结论是模型已经具备RK3588端侧本地推理能力，下一阶段模型工作聚焦真实门店数据扩充、重新训练和重新INT8量化。</w:t>
      </w:r>
      <w:r>
        <w:rPr>
          <w:rFonts w:ascii="微软雅黑" w:hAnsi="微软雅黑" w:eastAsia="微软雅黑"/>
          <w:sz w:val="21"/>
        </w:rPr>
        <w:br w:type="textWrapping"/>
      </w:r>
    </w:p>
    <w:p w14:paraId="71909FE3">
      <w:r>
        <w:br w:type="page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2826"/>
        <w:gridCol w:w="5084"/>
      </w:tblGrid>
      <w:tr w14:paraId="5F3F6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6B67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英文/缩写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ED43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</w:t>
            </w:r>
          </w:p>
        </w:tc>
        <w:tc>
          <w:tcPr>
            <w:tcW w:w="510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781F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项目中的含义</w:t>
            </w:r>
          </w:p>
        </w:tc>
      </w:tr>
      <w:tr w14:paraId="4829E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BE4E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OOS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BF48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Out of Stock，缺货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F576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空货架/缺货区域类别</w:t>
            </w:r>
          </w:p>
        </w:tc>
      </w:tr>
      <w:tr w14:paraId="2D01F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BDB8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IoU</w:t>
            </w:r>
          </w:p>
        </w:tc>
        <w:tc>
          <w:tcPr>
            <w:tcW w:w="2835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5C85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交并比</w:t>
            </w:r>
          </w:p>
        </w:tc>
        <w:tc>
          <w:tcPr>
            <w:tcW w:w="510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D566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预测框和真实框的重合度</w:t>
            </w:r>
          </w:p>
        </w:tc>
      </w:tr>
      <w:tr w14:paraId="37BD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AAF2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Precision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A22C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精确率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2945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预测为缺货的结果中有多少正确</w:t>
            </w:r>
          </w:p>
        </w:tc>
      </w:tr>
      <w:tr w14:paraId="69D2D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541E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Recall</w:t>
            </w:r>
          </w:p>
        </w:tc>
        <w:tc>
          <w:tcPr>
            <w:tcW w:w="2835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8232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召回率</w:t>
            </w:r>
          </w:p>
        </w:tc>
        <w:tc>
          <w:tcPr>
            <w:tcW w:w="510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238A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真实缺货中有多少被找到</w:t>
            </w:r>
          </w:p>
        </w:tc>
      </w:tr>
      <w:tr w14:paraId="6B5B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8BBF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F1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EAAE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F1分数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E45B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Precision与Recall的平衡</w:t>
            </w:r>
          </w:p>
        </w:tc>
      </w:tr>
      <w:tr w14:paraId="23A8C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CFE4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AP/mAP</w:t>
            </w:r>
          </w:p>
        </w:tc>
        <w:tc>
          <w:tcPr>
            <w:tcW w:w="2835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E6CD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平均精度/平均精度均值</w:t>
            </w:r>
          </w:p>
        </w:tc>
        <w:tc>
          <w:tcPr>
            <w:tcW w:w="510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E695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PR曲线综合面积与类别平均</w:t>
            </w:r>
          </w:p>
        </w:tc>
      </w:tr>
      <w:tr w14:paraId="6CD49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B04FF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TP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251A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真正例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294A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真实缺货且正确检出</w:t>
            </w:r>
          </w:p>
        </w:tc>
      </w:tr>
      <w:tr w14:paraId="1B5EA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397B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FP</w:t>
            </w:r>
          </w:p>
        </w:tc>
        <w:tc>
          <w:tcPr>
            <w:tcW w:w="2835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5D3C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假正例</w:t>
            </w:r>
          </w:p>
        </w:tc>
        <w:tc>
          <w:tcPr>
            <w:tcW w:w="510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0EBC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正常区域被错误报警</w:t>
            </w:r>
          </w:p>
        </w:tc>
      </w:tr>
      <w:tr w14:paraId="241E4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26F3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FN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55E2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假负例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B6C67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真实缺货被漏掉</w:t>
            </w:r>
          </w:p>
        </w:tc>
      </w:tr>
      <w:tr w14:paraId="5EC7D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C43C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TN</w:t>
            </w:r>
          </w:p>
        </w:tc>
        <w:tc>
          <w:tcPr>
            <w:tcW w:w="2835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829B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真负例</w:t>
            </w:r>
          </w:p>
        </w:tc>
        <w:tc>
          <w:tcPr>
            <w:tcW w:w="510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37D02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目标检测中通常不直接统计所有背景</w:t>
            </w:r>
          </w:p>
        </w:tc>
      </w:tr>
      <w:tr w14:paraId="3C883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0A75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Epoch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7D473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训练轮次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98DE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模型完整遍历一次训练集</w:t>
            </w:r>
          </w:p>
        </w:tc>
      </w:tr>
      <w:tr w14:paraId="6F63F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A8D0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Batch</w:t>
            </w:r>
          </w:p>
        </w:tc>
        <w:tc>
          <w:tcPr>
            <w:tcW w:w="2835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310F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批次</w:t>
            </w:r>
          </w:p>
        </w:tc>
        <w:tc>
          <w:tcPr>
            <w:tcW w:w="510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66EB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一次梯度更新处理的图片数量</w:t>
            </w:r>
          </w:p>
        </w:tc>
      </w:tr>
      <w:tr w14:paraId="23C7D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6BA2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Early Stopping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26CDA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早停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99CA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验证指标长期不提升时停止训练</w:t>
            </w:r>
          </w:p>
        </w:tc>
      </w:tr>
      <w:tr w14:paraId="6C5FD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2C05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ONNX</w:t>
            </w:r>
          </w:p>
        </w:tc>
        <w:tc>
          <w:tcPr>
            <w:tcW w:w="2835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5C96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开放神经网络交换格式</w:t>
            </w:r>
          </w:p>
        </w:tc>
        <w:tc>
          <w:tcPr>
            <w:tcW w:w="510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76AAB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PT到RKNN之间的中间格式</w:t>
            </w:r>
          </w:p>
        </w:tc>
      </w:tr>
      <w:tr w14:paraId="171AC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4367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RKNN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CC8B8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瑞芯微神经网络模型格式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ECDC6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RK3588 NPU部署格式</w:t>
            </w:r>
          </w:p>
        </w:tc>
      </w:tr>
      <w:tr w14:paraId="59BC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1B73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NPU</w:t>
            </w:r>
          </w:p>
        </w:tc>
        <w:tc>
          <w:tcPr>
            <w:tcW w:w="2835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695E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神经网络处理器</w:t>
            </w:r>
          </w:p>
        </w:tc>
        <w:tc>
          <w:tcPr>
            <w:tcW w:w="510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FBAA4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负责模型推理加速</w:t>
            </w:r>
          </w:p>
        </w:tc>
      </w:tr>
      <w:tr w14:paraId="3DCC6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1DF2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FPS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AC4BD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每秒帧数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63ACE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采集、推理或显示吞吐</w:t>
            </w:r>
          </w:p>
        </w:tc>
      </w:tr>
      <w:tr w14:paraId="2310C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726A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Latency</w:t>
            </w:r>
          </w:p>
        </w:tc>
        <w:tc>
          <w:tcPr>
            <w:tcW w:w="2835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C8D00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延迟</w:t>
            </w:r>
          </w:p>
        </w:tc>
        <w:tc>
          <w:tcPr>
            <w:tcW w:w="5102" w:type="dxa"/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F049C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单次处理需要的时间</w:t>
            </w:r>
          </w:p>
        </w:tc>
      </w:tr>
      <w:tr w14:paraId="602F2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56409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RSS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40BF5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常驻内存集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1ADE1"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进程实际占用的物理内存</w:t>
            </w:r>
          </w:p>
        </w:tc>
      </w:tr>
    </w:tbl>
    <w:p w14:paraId="772A1FE7">
      <w:pPr>
        <w:spacing w:after="0"/>
      </w:pPr>
    </w:p>
    <w:p w14:paraId="3A25C147">
      <w:pPr>
        <w:spacing w:before="240"/>
        <w:jc w:val="both"/>
      </w:pPr>
    </w:p>
    <w:sectPr>
      <w:footerReference r:id="rId5" w:type="default"/>
      <w:pgSz w:w="12240" w:h="15840"/>
      <w:pgMar w:top="1020" w:right="113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37C35">
    <w:pPr>
      <w:pStyle w:val="24"/>
      <w:jc w:val="center"/>
    </w:pPr>
    <w:r>
      <w:rPr>
        <w:rFonts w:ascii="微软雅黑" w:hAnsi="微软雅黑" w:eastAsia="微软雅黑"/>
        <w:color w:val="666666"/>
        <w:sz w:val="17"/>
      </w:rPr>
      <w:t xml:space="preserve">RK3588 YOLOv8 空货架模型参数解释与演讲稿  |  第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1A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1F4E79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2835</Words>
  <Characters>3667</Characters>
  <Lines>0</Lines>
  <Paragraphs>0</Paragraphs>
  <TotalTime>14</TotalTime>
  <ScaleCrop>false</ScaleCrop>
  <LinksUpToDate>false</LinksUpToDate>
  <CharactersWithSpaces>3701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158号</cp:lastModifiedBy>
  <dcterms:modified xsi:type="dcterms:W3CDTF">2026-07-20T03:30:43Z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eyJoZGlkIjoiOWRjNDVhYmUwOTU1MTViMWFiMjQwYTE3Zjk4YjNhMjUiLCJ1c2VySWQiOiIxNjUwODU3MzI5In0=</vt:lpwstr>
  </property>
  <property fmtid="{D5CDD505-2E9C-101B-9397-08002B2CF9AE}" pid="3" name="KSOProductBuildVer">
    <vt:lpwstr>2052-12.1.0.26895</vt:lpwstr>
  </property>
  <property fmtid="{D5CDD505-2E9C-101B-9397-08002B2CF9AE}" pid="4" name="ICV">
    <vt:lpwstr>A9DF324EDD2A4DECBE875C51C1B6236A_12</vt:lpwstr>
  </property>
</Properties>
</file>