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流场测试系统（LabVIEW）软件标准化大纲</w:t>
      </w:r>
    </w:p>
    <w:p>
      <w:pPr>
        <w:spacing w:after="120"/>
        <w:ind w:left="36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文档性质：指导流场测试系统（LabVIEW）软件研制各阶段标准化工作的顶层策划文件，与《软件质量保证计划》《软件配置管理计划》《技术状态管理计划》同级。</w:t>
      </w:r>
    </w:p>
    <w:p>
      <w:pPr>
        <w:spacing w:after="120"/>
        <w:ind w:left="36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编制依据：通用软件工程标准（GB/T 8566、GB/T 25000.51 / ISO/IEC 25010、GB/T 8567）、NI/LabVIEW 工程规范（LabVIEW 编程风格指南、VI Analyzer、仪器控制 SCPI/VISA/IVI、NI-DAQmx）以及本项目内部既定规范。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0 封面与签署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文件名称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流场测试系统（LabVIEW）软件标准化大纲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软件名称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流场测试系统 LabVIEW 应用软件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文件编号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FFT-SW-STD-001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版本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编制单位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流场测试系统软件研制组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武振宇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校对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张佳伟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标准化审查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李成旭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批准</w:t>
            </w:r>
          </w:p>
        </w:tc>
        <w:tc>
          <w:tcPr>
            <w:tcW w:type="dxa" w:w="6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王宇</w:t>
            </w:r>
          </w:p>
        </w:tc>
      </w:tr>
    </w:tbl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 范围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编制依据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适用范围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本大纲适用于本 LabVIEW 软件的需求、设计、实现（VI 开发）、测试、验收与交付全过程标准化工作，覆盖：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 概述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任务来源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本软件依据《流场测试系统研制任务书》开展研制，本版本目标为完成风洞流场试验数据采集、探针解算、设备控制、数据存储与报告的完整功能交付并通过标准化审查。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产品用途与组成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本软件是面向风洞试验室的工业桌面工具，用于配置硬件、运行试验、监视实时数据并分析结果。采用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LabVIEW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图形化开发环境，结构为 LabVIEW 项目（.lvproj）+ 项目库（.lvlib）+ 类（.lvclass）+ 各功能 VI。软件由以下模块组成：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对标准化的要求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在架构边界、接口契约、VI 文档、编码风格、测试、配置管理、错误处理等方面满足本大纲约定的工程标准，实现过程规范化、模块可复用、接口统一、质量可验证。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 标准化目标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/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定量目标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：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 标准实施要求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一般要求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重大标准实施要求（须专项方案并报审）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标准选用范围（核心清单）</w:t>
      </w:r>
    </w:p>
    <w:p>
      <w:pPr>
        <w:spacing w:after="120"/>
        <w:ind w:left="36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本表为本软件**必须贯彻实施的标准/规范清单**，是审查“要求贯彻的标准均已贯彻”的判据。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900"/>
        <w:gridCol w:w="2726"/>
        <w:gridCol w:w="1000"/>
        <w:gridCol w:w="1000"/>
        <w:gridCol w:w="80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标准/规范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名称/内容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贯彻阶段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责任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落地载体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过程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GB/T 8566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软件生存周期过程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全周期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阶段划分与评审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质量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GB/T 25000.51 / ISO/IEC 25010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系统与软件质量要求与评价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设计/测试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质量负责人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质量模型与测试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GB/T 8567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计算机软件文档编制规范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各阶段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文档负责人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文档集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项目架构约定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QMH + 生产者/消费者 + HAL，UI/逻辑分离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设计/实现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架构负责人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项目模板与 ADR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编码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LabVIEW 编程风格指南 + VI Analyzer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VI 命名、连线板、错误簇、文档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VI Analyzer 配置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采集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NI-DAQmx 编程规范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数据采集任务管理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DAQ 驱动 VI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仪器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SCPI（IEEE 488.2 / IEC 60488）+ VISA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仪器命令与通信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仪器驱动 VI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仪器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IVI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可互换虚拟仪器驱动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IVI 驱动封装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数据文件格式（TDMS / CSV）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数据存储与交换契约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设计/实现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 I/O VI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Caraya 单元测试框架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单元与回归测试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测试组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Caraya 测试套件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构建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Application Builder（exe + msi）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桌面打包与安装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构建负责人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安装包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配置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版本管理与变更日志</w:t>
            </w:r>
          </w:p>
        </w:tc>
        <w:tc>
          <w:tcPr>
            <w:tcW w:type="dxa" w:w="2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SVN + Git + LVCompare/LVMerge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全程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配置管理员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仓库/发布说明</w:t>
            </w:r>
          </w:p>
        </w:tc>
      </w:tr>
    </w:tbl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4.4 复用与第三方件选用范围（LabVIEW 侧）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 软件通用化、系列化、组合化及接口、互换性要求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 软件文档体系要求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依据 GB/T 8567 与 LabVIEW 实际，建立下列文档体系（管理类/技术类/操作类）：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29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对应标准/规范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本大纲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本文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全程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软件配置管理计划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配置管理实践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全程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软件质量保证计划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质量实践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全程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需求/设计规格说明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GB/T 8567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需求/设计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架构决策记录（ADR）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项目约定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VI 文档（VI 描述/连线板/帮助）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LabVIEW 风格指南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仪器命令/SCPI 规约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设备控制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数据格式（TDMS/CSV）规约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存储契约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设计/实现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用户手册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GB/T 8567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集成冒烟清单 / HIL 验证计划</w:t>
            </w:r>
          </w:p>
        </w:tc>
        <w:tc>
          <w:tcPr>
            <w:tcW w:type="dxa" w:w="2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验证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</w:tr>
    </w:tbl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7 图样和技术文件要求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7.1 完整性、正确性、统一性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7.2 管理要求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8 标准化工作范围和研制各阶段主要工作</w:t>
      </w:r>
    </w:p>
    <w:p>
      <w:pPr>
        <w:spacing w:after="120"/>
        <w:ind w:left="36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本表对应审查结论“软件开发各阶段严格按照大纲要求开展标准化工作”，是各阶段标准化任务策划依据。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26"/>
        <w:gridCol w:w="2700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标准化主要工作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输出/证据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需求/规划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编制本大纲；明确标准选用范围与目标；确定架构（QMH + 生产者/消费者 + HAL）与复用策略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本大纲、架构决策 ADR、需求规格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定义仪器 SCPI/数据 TDMS 契约；重大标准（架构边界、HAL、错误处理）专项落实；规格文档化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规格说明、接口规约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编码风格贯彻（VI Analyzer）；UI/逻辑分离；配置外部化；第三方包版本锁定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VI、VI Analyzer 报告、依赖清单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单元/回归（Caraya）、硬件在环（HIL）；数据格式与接口契约符合性校验；标准化问题归零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测试报告、问题闭环表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验收/交付</w:t>
            </w:r>
          </w:p>
        </w:tc>
        <w:tc>
          <w:tcPr>
            <w:tcW w:type="dxa" w:w="46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文档体系完整性核查；生产构建规范（exe+msi）；版本与变更日志；标准化审查报告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安装包、发布说明、审查报告</w:t>
            </w:r>
          </w:p>
        </w:tc>
      </w:tr>
    </w:tbl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9 标准化工作协调管理要求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10 标准贯彻实施情况结论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 A 软件标准化文件体系表（LabVIEW）</w:t>
      </w:r>
    </w:p>
    <w:p>
      <w:pPr>
        <w:spacing w:after="12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（同第 6 章表格，此处作为受控归档索引。）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 B 标准贯彻实施问题闭环记录表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600"/>
        <w:gridCol w:w="900"/>
        <w:gridCol w:w="800"/>
        <w:gridCol w:w="1526"/>
        <w:gridCol w:w="120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关联标准/规范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提出阶段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责任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处理措施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归零确认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Q-01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部分采集 VI 未全程连线错误簇，存在静默丢弃风险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LabVIEW 风格指南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补全错误簇连线并加入 VI Analyzer 检查项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已归零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Q-02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探针解算逻辑在多处存在拷贝，违反单一真相原则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复用与第三方件选用范围（4.4）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架构负责人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抽取为统一算法库（.lvlib），各处引用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已归零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Q-03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前面板直接操作 VISA 资源，违反 UI/逻辑分离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架构约定（4.2）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设计/实现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架构负责人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改为经设备驱动 VI 接口访问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已归零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Q-04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数据文件列序/单位在不同模块不一致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数据格式（TDMS/CSV）契约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开发组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统一由文件 I/O VI 定义并加测试保护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已归零</w:t>
            </w:r>
          </w:p>
        </w:tc>
      </w:tr>
      <w:t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Q-05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生产构建未禁用调试、未嵌入版本信息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生产构建规范（4.2）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构建负责人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修正 Application Builder 配置并复核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已归零</w:t>
            </w:r>
          </w:p>
        </w:tc>
      </w:tr>
    </w:tbl>
    <w:p>
      <w:pPr>
        <w:spacing w:before="240"/>
      </w:pPr>
      <w:r>
        <w:rPr>
          <w:rFonts w:ascii="宋体" w:cs="宋体" w:eastAsia="宋体" w:hAnsi="宋体"/>
          <w:i/>
          <w:iCs/>
          <w:sz w:val="20"/>
          <w:szCs w:val="20"/>
        </w:rPr>
        <w:t xml:space="preserve">本大纲经编制（武振宇）、校对（张佳伟）、标准化审查（李成旭）、批准（王宇）会签后发布执行，作为流场测试系统（LabVIEW）软件研制各阶段标准化工作的受控依据。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2026-07-18T03:39:26.639Z</dcterms:created>
  <dcterms:modified xsi:type="dcterms:W3CDTF">2026-07-18T03:39:26.640Z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