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CA0CC9" w:rsidRPr="00CA0CC9">
        <w:rPr>
          <w:b/>
          <w:sz w:val="24"/>
          <w:szCs w:val="24"/>
        </w:rPr>
        <w:t>I’d say I wore both my belt and my suspenders in Delaware</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bookmarkStart w:id="0" w:name="_GoBack"/>
      <w:bookmarkEnd w:id="0"/>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B71C5B">
        <w:t xml:space="preserve"> along with the range of other types as defined previously.</w:t>
      </w:r>
    </w:p>
    <w:p w:rsidR="003468DC" w:rsidRDefault="00BC15C2" w:rsidP="0050722F">
      <w:r>
        <w:t xml:space="preserve">Interesting stuff, </w:t>
      </w:r>
      <w:r w:rsidR="00AD193D">
        <w:t>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I’m going on the record as say</w:t>
      </w:r>
      <w:r w:rsidR="002C0352">
        <w:t>ing</w:t>
      </w:r>
      <w:r w:rsidR="00994934">
        <w:t xml:space="preserve">, </w:t>
      </w:r>
      <w:r w:rsidR="00994934" w:rsidRPr="00E81D96">
        <w:t xml:space="preserve">no one ever thought to locate </w:t>
      </w:r>
      <w:r w:rsidR="00BF5603">
        <w:t>the exact highest natural point of Delaware while it was still natural</w:t>
      </w:r>
      <w:r w:rsidR="00994934" w:rsidRPr="00E81D96">
        <w: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w:t>
      </w:r>
      <w:r w:rsidR="00BB3B1B">
        <w:lastRenderedPageBreak/>
        <w:t>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0F50"/>
    <w:rsid w:val="008939E3"/>
    <w:rsid w:val="00894770"/>
    <w:rsid w:val="00896B15"/>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19EE"/>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15</Pages>
  <Words>7238</Words>
  <Characters>41259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626</cp:revision>
  <dcterms:created xsi:type="dcterms:W3CDTF">2020-09-14T17:00:00Z</dcterms:created>
  <dcterms:modified xsi:type="dcterms:W3CDTF">2020-11-23T18:10:00Z</dcterms:modified>
</cp:coreProperties>
</file>