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pict>
          <v:rect style="position:absolute;width:197.75pt;height:44.6pt;mso-wrap-distance-left:9pt;mso-wrap-distance-right:9pt;mso-wrap-distance-top:0pt;mso-wrap-distance-bottom:0pt;margin-top:5.45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ED7D31"/>
                      <w:left w:val="single" w:sz="4" w:space="0" w:color="ED7D31"/>
                      <w:bottom w:val="single" w:sz="4" w:space="0" w:color="ED7D31"/>
                      <w:insideH w:val="single" w:sz="4" w:space="0" w:color="ED7D31"/>
                      <w:right w:val="single" w:sz="4" w:space="0" w:color="ED7D31"/>
                      <w:insideV w:val="single" w:sz="4" w:space="0" w:color="ED7D3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614"/>
                    <w:gridCol w:w="2340"/>
                  </w:tblGrid>
                  <w:tr>
                    <w:trPr>
                      <w:cantSplit w:val="false"/>
                    </w:trPr>
                    <w:tc>
                      <w:tcPr>
                        <w:tcW w:w="1614" w:type="dxa"/>
                        <w:tcBorders>
                          <w:top w:val="single" w:sz="4" w:space="0" w:color="ED7D31"/>
                          <w:left w:val="single" w:sz="4" w:space="0" w:color="ED7D31"/>
                          <w:bottom w:val="single" w:sz="4" w:space="0" w:color="ED7D31"/>
                          <w:insideH w:val="single" w:sz="4" w:space="0" w:color="ED7D31"/>
                          <w:right w:val="single" w:sz="4" w:space="0" w:color="ED7D31"/>
                          <w:insideV w:val="single" w:sz="4" w:space="0" w:color="ED7D31"/>
                        </w:tcBorders>
                        <w:shd w:fill="ED7D31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  <w:t>Risicoanalyse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ED7D31"/>
                          <w:left w:val="single" w:sz="4" w:space="0" w:color="ED7D31"/>
                          <w:bottom w:val="single" w:sz="4" w:space="0" w:color="ED7D31"/>
                          <w:insideH w:val="single" w:sz="4" w:space="0" w:color="ED7D31"/>
                          <w:right w:val="single" w:sz="4" w:space="0" w:color="ED7D31"/>
                          <w:insideV w:val="single" w:sz="4" w:space="0" w:color="ED7D31"/>
                        </w:tcBorders>
                        <w:shd w:fill="ED7D31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  <w:t>Print</w:t>
                        </w:r>
                      </w:p>
                    </w:tc>
                  </w:tr>
                  <w:tr>
                    <w:trPr>
                      <w:trHeight w:val="232" w:hRule="atLeast"/>
                      <w:cantSplit w:val="false"/>
                    </w:trPr>
                    <w:tc>
                      <w:tcPr>
                        <w:tcW w:w="1614" w:type="dxa"/>
                        <w:tcBorders>
                          <w:top w:val="single" w:sz="4" w:space="0" w:color="F4B083"/>
                          <w:left w:val="single" w:sz="4" w:space="0" w:color="F4B083"/>
                          <w:bottom w:val="single" w:sz="4" w:space="0" w:color="F4B083"/>
                          <w:insideH w:val="single" w:sz="4" w:space="0" w:color="F4B083"/>
                          <w:right w:val="single" w:sz="4" w:space="0" w:color="F4B083"/>
                          <w:insideV w:val="single" w:sz="4" w:space="0" w:color="F4B083"/>
                        </w:tcBorders>
                        <w:shd w:fill="FBE4D5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F4B083"/>
                          <w:left w:val="single" w:sz="4" w:space="0" w:color="F4B083"/>
                          <w:bottom w:val="single" w:sz="4" w:space="0" w:color="F4B083"/>
                          <w:insideH w:val="single" w:sz="4" w:space="0" w:color="F4B083"/>
                          <w:right w:val="single" w:sz="4" w:space="0" w:color="F4B083"/>
                          <w:insideV w:val="single" w:sz="4" w:space="0" w:color="F4B083"/>
                        </w:tcBorders>
                        <w:shd w:fill="FBE4D5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10</w:t>
                        </w:r>
                        <w:bookmarkStart w:id="0" w:name="_GoBack1"/>
                        <w:bookmarkEnd w:id="0"/>
                        <w:r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-Dec-14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pict>
          <v:rect style="position:absolute;width:455.3pt;height:191.2pt;mso-wrap-distance-left:9pt;mso-wrap-distance-right:9pt;mso-wrap-distance-top:0pt;mso-wrap-distance-bottom:0pt;margin-top:75.1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8EAADB"/>
                      <w:left w:val="single" w:sz="4" w:space="0" w:color="8EAADB"/>
                      <w:bottom w:val="single" w:sz="12" w:space="0" w:color="8EAADB"/>
                      <w:insideH w:val="single" w:sz="12" w:space="0" w:color="8EAADB"/>
                      <w:right w:val="single" w:sz="4" w:space="0" w:color="8EAADB"/>
                      <w:insideV w:val="single" w:sz="4" w:space="0" w:color="8EAADB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794"/>
                    <w:gridCol w:w="4146"/>
                    <w:gridCol w:w="1530"/>
                    <w:gridCol w:w="1620"/>
                  </w:tblGrid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Categorie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Risico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Waarde*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Zwaarte**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090" w:type="dxa"/>
                        <w:gridSpan w:val="4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Interne risico’s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Haalbaarheid van het project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Persoonlijke omstandigheden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Project leden willen niet samenwerken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Technische risico’s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Afhankelijkheid van andere take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090" w:type="dxa"/>
                        <w:gridSpan w:val="4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Externe risico’s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Onduidelijke projectgrenzen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Verandering van doelstelling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bookmarkStart w:id="1" w:name="__UnoMark__1027_134903083"/>
                        <w:bookmarkStart w:id="2" w:name="__UnoMark__1028_134903083"/>
                        <w:bookmarkEnd w:id="1"/>
                        <w:bookmarkEnd w:id="2"/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14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3" w:name="__UnoMark__1029_134903083"/>
                        <w:bookmarkStart w:id="4" w:name="__UnoMark__1030_134903083"/>
                        <w:bookmarkEnd w:id="3"/>
                        <w:bookmarkEnd w:id="4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Leveringstijd duurt langer dan verwacht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5" w:name="__UnoMark__1032_134903083"/>
                        <w:bookmarkStart w:id="6" w:name="__UnoMark__1031_134903083"/>
                        <w:bookmarkStart w:id="7" w:name="__UnoMark__1032_134903083"/>
                        <w:bookmarkStart w:id="8" w:name="__UnoMark__1031_134903083"/>
                        <w:bookmarkEnd w:id="7"/>
                        <w:bookmarkEnd w:id="8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9" w:name="__UnoMark__1033_134903083"/>
                        <w:bookmarkEnd w:id="9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123815" cy="31013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ageBreakBefore/>
        <w:spacing w:lineRule="auto" w:line="240" w:before="0"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Risico's</w:t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De opdrachtgevers hebben als eis gesteld dat dit hoofdstuk zowel de interne als externe risico’s, de gevolgen met betrekking tot het project en mogelijke maatregelen moet bevatten.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Bij risico's kan onderscheid worden gemaakt tussen interne en externe risico's.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Interne risico's: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Haalbaarheid van het project; Het kan voorkomen dat de gestelde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tijd niet genoeg is om het project af te ronden. De zwaarte factor is 4, omdat de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projectleden voor andere vakken werk moeten verrichten. Als maatregel wordt getracht ons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te houden aan de wekelijkse planning en die waar nodig bij te stellen.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Persoonlijke omstandigheden; Iemand die bijvoorbeeld door ziekte niet meer in staat is om 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het project af te ronden. Dan moeten de overgebleven groepsleden extra taken overnemen.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De zwaarte factor is 5,  omdat ziekte zich op enig kan voordoen. Als maatregel zullen wij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elkaar ondersteunen tijdens het proces.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Projectleden die niet meer met elkaar kunnen of willen samenwerken. De zwaarte factor is 2,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omdat efficiënt samenwerken nog moeilijk is voor velen. Als maatregel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zullen wij de sfeer binnen de groep prettig te houden door respect voor elkaar te tonen.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Technische risico's; Foute keuze van hardware onderdelen die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aan het einde van het project niet meer functioneren. Ook valt hier te denken aan het slecht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bouwen van het prototype of het niet goed nadenken hierover. De zwaarte factor is 4. Dit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omdat er verschillende mogelijkheden zijn wat het monteren van de hardware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betreft. Als maatregel zullen wij met verschillende prototypen werken om te concluderen wat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de beste optie is.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 Afhankelijkheid  van andere taken; als de taak 'bouwen van het prototype' door de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bouwers niet op tijd gereed is, kan de taak 'software programmeren' door de programmeurs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niet beginnen. De zwaarte factor is 2, omdat veel taken van elkaar afhankelijk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zijn. Als maatregel zullen wij ons aan de wekelijkse planning houden en vergaderen over de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voortgang.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Externe risico's: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Onduidelijke projectgrenzen. De zwaarte factor is 2, omdat een opdracht soms vaag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beschreven kan zijn. Als maatregel zullen wij contact opnemen met de opdrachtgevers zodra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de projectgrenzen onduidelijk voor ons zijn.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Veranderingen met betrekking tot de doelstelling kunnen negatieve gevolgen hebben voor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het plan van aanpak. Dit brengt veel wijzigingen zich mee om het plan van aanpak relevant te 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houden aan de nieuwe doelstelling. De zwaarte factor is 3. Als maatregel zullen wij direct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contact  opnemen met de opdrachtgevers om de doelen vast te stellen en aan te passen.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De leveringstijd van de materialen kan langer duren dan verwacht aangezien wij met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meerdere hardware onderdelen mogen werken bij dit project.  De zwaarte factor is 3. Als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maatregel trachten wij efficiënt om te gaan met het materiaal dat al in ons bezit is.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14391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1655e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Rastertabel6kleurrijk-Accent5">
    <w:name w:val="Grid Table 6 Colorful Accent 5"/>
    <w:basedOn w:val="Standaardtabel"/>
    <w:uiPriority w:val="51"/>
    <w:rsid w:val="00f1655e"/>
    <w:pPr>
      <w:spacing w:line="240" w:after="0" w:lineRule="auto"/>
    </w:pPr>
    <w:rPr>
      <w:color w:themeShade="bf" w:themeColor="accent5" w:val="2F5496"/>
    </w:rPr>
    <w:tblPr>
      <w:tblStyleRowBandSize w:val="1"/>
      <w:tblStyleColBandSize w:val="1"/>
      <w:tblBorders>
        <w:top w:space="0" w:sz="4" w:themeTint="99" w:themeColor="accent5" w:color="8EAADB" w:val="single"/>
        <w:left w:space="0" w:sz="4" w:themeTint="99" w:themeColor="accent5" w:color="8EAADB" w:val="single"/>
        <w:bottom w:space="0" w:sz="4" w:themeTint="99" w:themeColor="accent5" w:color="8EAADB" w:val="single"/>
        <w:right w:space="0" w:sz="4" w:themeTint="99" w:themeColor="accent5" w:color="8EAADB" w:val="single"/>
        <w:insideH w:space="0" w:sz="4" w:themeTint="99" w:themeColor="accent5" w:color="8EAADB" w:val="single"/>
        <w:insideV w:space="0" w:sz="4" w:themeTint="99" w:themeColor="accent5" w:color="8EAADB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8EAADB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8EAADB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D9E2F3" w:color="auto" w:val="clear"/>
      </w:tcPr>
    </w:tblStylePr>
    <w:tblStylePr w:type="band1Horz">
      <w:tblPr/>
      <w:tcPr>
        <w:shd w:themeFillTint="33" w:themeFill="accent5" w:fill="D9E2F3" w:color="auto" w:val="clear"/>
      </w:tcPr>
    </w:tblStylePr>
  </w:style>
  <w:style w:type="table" w:styleId="Rastertabel6kleurrijk-Accent4">
    <w:name w:val="Grid Table 6 Colorful Accent 4"/>
    <w:basedOn w:val="Standaardtabel"/>
    <w:uiPriority w:val="51"/>
    <w:rsid w:val="00187d6a"/>
    <w:pPr>
      <w:spacing w:line="240" w:after="0" w:lineRule="auto"/>
    </w:pPr>
    <w:rPr>
      <w:color w:themeShade="bf" w:themeColor="accent4" w:val="BF8F00"/>
    </w:rPr>
    <w:tblPr>
      <w:tblStyleRowBandSize w:val="1"/>
      <w:tblStyleColBandSize w:val="1"/>
      <w:tblBorders>
        <w:top w:space="0" w:sz="4" w:themeTint="99" w:themeColor="accent4" w:color="FFD966" w:val="single"/>
        <w:left w:space="0" w:sz="4" w:themeTint="99" w:themeColor="accent4" w:color="FFD966" w:val="single"/>
        <w:bottom w:space="0" w:sz="4" w:themeTint="99" w:themeColor="accent4" w:color="FFD966" w:val="single"/>
        <w:right w:space="0" w:sz="4" w:themeTint="99" w:themeColor="accent4" w:color="FFD966" w:val="single"/>
        <w:insideH w:space="0" w:sz="4" w:themeTint="99" w:themeColor="accent4" w:color="FFD966" w:val="single"/>
        <w:insideV w:space="0" w:sz="4" w:themeTint="99" w:themeColor="accent4" w:color="FFD966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FFD9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FFD9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FF2CC" w:color="auto" w:val="clear"/>
      </w:tcPr>
    </w:tblStylePr>
    <w:tblStylePr w:type="band1Horz">
      <w:tblPr/>
      <w:tcPr>
        <w:shd w:themeFillTint="33" w:themeFill="accent4" w:fill="FFF2CC" w:color="auto" w:val="clear"/>
      </w:tcPr>
    </w:tblStylePr>
  </w:style>
  <w:style w:type="table" w:styleId="Lijsttabel3-Accent4">
    <w:name w:val="List Table 3 Accent 4"/>
    <w:basedOn w:val="Standaardtabel"/>
    <w:uiPriority w:val="48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Color="accent4" w:color="FFC000" w:val="single"/>
        <w:left w:space="0" w:sz="4" w:themeColor="accent4" w:color="FFC000" w:val="single"/>
        <w:bottom w:space="0" w:sz="4" w:themeColor="accent4" w:color="FFC000" w:val="single"/>
        <w:right w:space="0" w:sz="4" w:themeColor="accent4" w:color="FFC000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4" w:fill="FFC000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FFC00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4" w:color="FFC000" w:val="single"/>
          <w:right w:space="0" w:sz="4" w:themeColor="accent4" w:color="FFC000" w:val="single"/>
        </w:tcBorders>
      </w:tcPr>
    </w:tblStylePr>
    <w:tblStylePr w:type="band1Horz">
      <w:tblPr/>
      <w:tcPr>
        <w:tcBorders>
          <w:top w:space="0" w:sz="4" w:themeColor="accent4" w:color="FFC000" w:val="single"/>
          <w:bottom w:space="0" w:sz="4" w:themeColor="accent4" w:color="FFC00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4" w:color="FFC000" w:val="double"/>
          <w:left w:val="nil"/>
        </w:tcBorders>
      </w:tcPr>
    </w:tblStylePr>
    <w:tblStylePr w:type="swCell">
      <w:tblPr/>
      <w:tcPr>
        <w:tcBorders>
          <w:top w:space="0" w:sz="4" w:themeColor="accent4" w:color="FFC000" w:val="double"/>
          <w:right w:val="nil"/>
        </w:tcBorders>
      </w:tcPr>
    </w:tblStylePr>
  </w:style>
  <w:style w:type="table" w:styleId="Rastertabel4-Accent4">
    <w:name w:val="Grid Table 4 Accent 4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4" w:color="FFD966" w:val="single"/>
        <w:left w:space="0" w:sz="4" w:themeTint="99" w:themeColor="accent4" w:color="FFD966" w:val="single"/>
        <w:bottom w:space="0" w:sz="4" w:themeTint="99" w:themeColor="accent4" w:color="FFD966" w:val="single"/>
        <w:right w:space="0" w:sz="4" w:themeTint="99" w:themeColor="accent4" w:color="FFD966" w:val="single"/>
        <w:insideH w:space="0" w:sz="4" w:themeTint="99" w:themeColor="accent4" w:color="FFD966" w:val="single"/>
        <w:insideV w:space="0" w:sz="4" w:themeTint="99" w:themeColor="accent4" w:color="FFD9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FFC000" w:val="single"/>
          <w:left w:space="0" w:sz="4" w:themeColor="accent4" w:color="FFC000" w:val="single"/>
          <w:bottom w:space="0" w:sz="4" w:themeColor="accent4" w:color="FFC000" w:val="single"/>
          <w:right w:space="0" w:sz="4" w:themeColor="accent4" w:color="FFC000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FFC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FF2CC" w:color="auto" w:val="clear"/>
      </w:tcPr>
    </w:tblStylePr>
    <w:tblStylePr w:type="band1Horz">
      <w:tblPr/>
      <w:tcPr>
        <w:shd w:themeFillTint="33" w:themeFill="accent4" w:fill="FFF2CC" w:color="auto" w:val="clear"/>
      </w:tcPr>
    </w:tblStylePr>
  </w:style>
  <w:style w:type="table" w:styleId="Rastertabel5donker-Accent4">
    <w:name w:val="Grid Table 5 Dark Accent 4"/>
    <w:basedOn w:val="Standaardtabel"/>
    <w:uiPriority w:val="50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4" w:fill="FFF2C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band1Vert">
      <w:tblPr/>
      <w:tcPr>
        <w:shd w:themeFillTint="66" w:themeFill="accent4" w:fill="FFE599" w:color="auto" w:val="clear"/>
      </w:tcPr>
    </w:tblStylePr>
    <w:tblStylePr w:type="band1Horz">
      <w:tblPr/>
      <w:tcPr>
        <w:shd w:themeFillTint="66" w:themeFill="accent4" w:fill="FFE599" w:color="auto" w:val="clear"/>
      </w:tcPr>
    </w:tblStylePr>
  </w:style>
  <w:style w:type="table" w:styleId="Rastertabel4-Accent6">
    <w:name w:val="Grid Table 4 Accent 6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6" w:color="A8D08D" w:val="single"/>
        <w:left w:space="0" w:sz="4" w:themeTint="99" w:themeColor="accent6" w:color="A8D08D" w:val="single"/>
        <w:bottom w:space="0" w:sz="4" w:themeTint="99" w:themeColor="accent6" w:color="A8D08D" w:val="single"/>
        <w:right w:space="0" w:sz="4" w:themeTint="99" w:themeColor="accent6" w:color="A8D08D" w:val="single"/>
        <w:insideH w:space="0" w:sz="4" w:themeTint="99" w:themeColor="accent6" w:color="A8D08D" w:val="single"/>
        <w:insideV w:space="0" w:sz="4" w:themeTint="99" w:themeColor="accent6" w:color="A8D08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70AD47" w:val="single"/>
          <w:left w:space="0" w:sz="4" w:themeColor="accent6" w:color="70AD47" w:val="single"/>
          <w:bottom w:space="0" w:sz="4" w:themeColor="accent6" w:color="70AD47" w:val="single"/>
          <w:right w:space="0" w:sz="4" w:themeColor="accent6" w:color="70AD47" w:val="single"/>
          <w:insideH w:val="nil"/>
          <w:insideV w:val="nil"/>
        </w:tcBorders>
        <w:shd w:themeFill="accent6" w:fill="70AD47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70AD4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E2EFD9" w:color="auto" w:val="clear"/>
      </w:tcPr>
    </w:tblStylePr>
    <w:tblStylePr w:type="band1Horz">
      <w:tblPr/>
      <w:tcPr>
        <w:shd w:themeFillTint="33" w:themeFill="accent6" w:fill="E2EFD9" w:color="auto" w:val="clear"/>
      </w:tcPr>
    </w:tblStylePr>
  </w:style>
  <w:style w:type="table" w:styleId="Rastertabel4-Accent2">
    <w:name w:val="Grid Table 4 Accent 2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2" w:color="F4B083" w:val="single"/>
        <w:left w:space="0" w:sz="4" w:themeTint="99" w:themeColor="accent2" w:color="F4B083" w:val="single"/>
        <w:bottom w:space="0" w:sz="4" w:themeTint="99" w:themeColor="accent2" w:color="F4B083" w:val="single"/>
        <w:right w:space="0" w:sz="4" w:themeTint="99" w:themeColor="accent2" w:color="F4B083" w:val="single"/>
        <w:insideH w:space="0" w:sz="4" w:themeTint="99" w:themeColor="accent2" w:color="F4B083" w:val="single"/>
        <w:insideV w:space="0" w:sz="4" w:themeTint="99" w:themeColor="accent2" w:color="F4B0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ED7D31" w:val="single"/>
          <w:left w:space="0" w:sz="4" w:themeColor="accent2" w:color="ED7D31" w:val="single"/>
          <w:bottom w:space="0" w:sz="4" w:themeColor="accent2" w:color="ED7D31" w:val="single"/>
          <w:right w:space="0" w:sz="4" w:themeColor="accent2" w:color="ED7D31" w:val="single"/>
          <w:insideH w:val="nil"/>
          <w:insideV w:val="nil"/>
        </w:tcBorders>
        <w:shd w:themeFill="accent2" w:fill="ED7D31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ED7D3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BE4D5" w:color="auto" w:val="clear"/>
      </w:tcPr>
    </w:tblStylePr>
    <w:tblStylePr w:type="band1Horz">
      <w:tblPr/>
      <w:tcPr>
        <w:shd w:themeFillTint="33" w:themeFill="accent2" w:fill="FBE4D5" w:color="auto" w:val="clear"/>
      </w:tcPr>
    </w:tblStylePr>
  </w:style>
  <w:style w:type="table" w:styleId="Rastertabel6kleurrijk-Accent6">
    <w:name w:val="Grid Table 6 Colorful Accent 6"/>
    <w:basedOn w:val="Standaardtabel"/>
    <w:uiPriority w:val="51"/>
    <w:rsid w:val="00ad5cc8"/>
    <w:pPr>
      <w:spacing w:line="240" w:after="0" w:lineRule="auto"/>
    </w:pPr>
    <w:rPr>
      <w:color w:themeShade="bf" w:themeColor="accent6" w:val="538135"/>
    </w:rPr>
    <w:tblPr>
      <w:tblStyleRowBandSize w:val="1"/>
      <w:tblStyleColBandSize w:val="1"/>
      <w:tblBorders>
        <w:top w:space="0" w:sz="4" w:themeTint="99" w:themeColor="accent6" w:color="A8D08D" w:val="single"/>
        <w:left w:space="0" w:sz="4" w:themeTint="99" w:themeColor="accent6" w:color="A8D08D" w:val="single"/>
        <w:bottom w:space="0" w:sz="4" w:themeTint="99" w:themeColor="accent6" w:color="A8D08D" w:val="single"/>
        <w:right w:space="0" w:sz="4" w:themeTint="99" w:themeColor="accent6" w:color="A8D08D" w:val="single"/>
        <w:insideH w:space="0" w:sz="4" w:themeTint="99" w:themeColor="accent6" w:color="A8D08D" w:val="single"/>
        <w:insideV w:space="0" w:sz="4" w:themeTint="99" w:themeColor="accent6" w:color="A8D08D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A8D08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A8D08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E2EFD9" w:color="auto" w:val="clear"/>
      </w:tcPr>
    </w:tblStylePr>
    <w:tblStylePr w:type="band1Horz">
      <w:tblPr/>
      <w:tcPr>
        <w:shd w:themeFillTint="33" w:themeFill="accent6" w:fill="E2EFD9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2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layout/>
    </c:title>
    <c:plotArea>
      <c:layout/>
      <c:barChart>
        <c:barDir val="col"/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Haalbaarheid</c:v>
                </c:pt>
              </c:strCache>
            </c:strRef>
          </c:tx>
          <c:spPr>
            <a:solidFill>
              <a:srgbClr val="000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5</c:v>
                </c:pt>
                <c:pt idx="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Persoonlijke omstandigheden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Samenwerking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2</c:v>
                </c:pt>
                <c:pt idx="1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Technisch risico's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Afhankelijkheid van andere taken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Onvoldoende tijd voor besluitvorming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Onduidelijke projectgrenzen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Verandering van doelstelling</c:v>
                </c:pt>
              </c:strCache>
            </c:strRef>
          </c:tx>
          <c:spPr>
            <a:solidFill>
              <a:srgbClr val="9e480e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2"/>
                <c:pt idx="0">
                  <c:v>2</c:v>
                </c:pt>
                <c:pt idx="1">
                  <c:v/>
                </c:pt>
              </c:numCache>
            </c:numRef>
          </c:val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Leveringstijd duurt lander dan verwacht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gapWidth val="150"/>
        <c:overlap val="100"/>
        <c:axId val="63416933"/>
        <c:axId val="56067174"/>
      </c:barChart>
      <c:catAx>
        <c:axId val="634169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56067174"/>
        <c:crossesAt val="0"/>
        <c:auto val="1"/>
        <c:lblAlgn val="ctr"/>
        <c:lblOffset val="100"/>
      </c:catAx>
      <c:valAx>
        <c:axId val="5606717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63416933"/>
        <c:crossesAt val="0"/>
      </c:valAx>
      <c:spPr>
        <a:noFill/>
        <a:ln>
          <a:noFill/>
        </a:ln>
      </c:spPr>
    </c:plotArea>
    <c:legend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2014-12-03T10:07:00Z</dcterms:created>
  <dc:creator>nichelle fleming</dc:creator>
  <dc:language>en-US</dc:language>
  <cp:lastModifiedBy>nichelle fleming</cp:lastModifiedBy>
  <dcterms:modified xsi:type="dcterms:W3CDTF">2014-12-08T23:22:00Z</dcterms:modified>
  <cp:revision>11</cp:revision>
</cp:coreProperties>
</file>