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27CF9" w14:textId="54AAF61B" w:rsidR="000F488F" w:rsidRDefault="000F488F" w:rsidP="000F488F">
      <w:pPr>
        <w:spacing w:line="276" w:lineRule="auto"/>
        <w:jc w:val="both"/>
        <w:rPr>
          <w:rFonts w:ascii="Times New Roman" w:hAnsi="Times New Roman" w:cs="Times New Roman"/>
          <w:b/>
          <w:bCs/>
          <w:lang w:val="es-MX"/>
        </w:rPr>
      </w:pPr>
      <w:r w:rsidRPr="000F488F">
        <w:rPr>
          <w:rFonts w:ascii="Times New Roman" w:hAnsi="Times New Roman" w:cs="Times New Roman"/>
          <w:b/>
          <w:bCs/>
          <w:lang w:val="es-MX"/>
        </w:rPr>
        <w:t>Tema: Factores críticos que contribuyen a incrementar el éxito de los proyectos de infraestructura en el Gobierno Autónomo Descentralizado Municipal del cantón La Troncal, en la provincia de Cañar, Ecuador.</w:t>
      </w:r>
    </w:p>
    <w:p w14:paraId="74C280A4" w14:textId="2A2F4D6A" w:rsidR="007841AE" w:rsidRPr="007841AE" w:rsidRDefault="007841AE" w:rsidP="000F488F">
      <w:pPr>
        <w:spacing w:line="276" w:lineRule="auto"/>
        <w:jc w:val="both"/>
        <w:rPr>
          <w:rFonts w:ascii="Times New Roman" w:hAnsi="Times New Roman" w:cs="Times New Roman"/>
          <w:lang w:val="es-MX"/>
        </w:rPr>
      </w:pPr>
      <w:r w:rsidRPr="007841AE">
        <w:rPr>
          <w:rFonts w:ascii="Times New Roman" w:hAnsi="Times New Roman" w:cs="Times New Roman"/>
          <w:b/>
          <w:bCs/>
          <w:lang w:val="es-MX"/>
        </w:rPr>
        <w:t xml:space="preserve">Autor: </w:t>
      </w:r>
      <w:r w:rsidRPr="007841AE">
        <w:rPr>
          <w:rFonts w:ascii="Times New Roman" w:hAnsi="Times New Roman" w:cs="Times New Roman"/>
          <w:lang w:val="es-MX"/>
        </w:rPr>
        <w:t>William Giovanni Vicuña Matute</w:t>
      </w:r>
    </w:p>
    <w:p w14:paraId="2B14AA51" w14:textId="3D015075" w:rsidR="000F488F" w:rsidRPr="000F488F" w:rsidRDefault="000F488F" w:rsidP="000F488F">
      <w:pPr>
        <w:spacing w:line="276" w:lineRule="auto"/>
        <w:jc w:val="both"/>
        <w:rPr>
          <w:rFonts w:ascii="Times New Roman" w:hAnsi="Times New Roman" w:cs="Times New Roman"/>
          <w:b/>
          <w:bCs/>
          <w:lang w:val="es-MX"/>
        </w:rPr>
      </w:pPr>
      <w:r w:rsidRPr="000F488F">
        <w:rPr>
          <w:rFonts w:ascii="Times New Roman" w:hAnsi="Times New Roman" w:cs="Times New Roman"/>
          <w:b/>
          <w:bCs/>
          <w:lang w:val="es-MX"/>
        </w:rPr>
        <w:t xml:space="preserve">Contexto </w:t>
      </w:r>
      <w:r w:rsidR="000C04FF">
        <w:rPr>
          <w:rFonts w:ascii="Times New Roman" w:hAnsi="Times New Roman" w:cs="Times New Roman"/>
          <w:b/>
          <w:bCs/>
          <w:lang w:val="es-MX"/>
        </w:rPr>
        <w:t>g</w:t>
      </w:r>
      <w:r w:rsidRPr="000F488F">
        <w:rPr>
          <w:rFonts w:ascii="Times New Roman" w:hAnsi="Times New Roman" w:cs="Times New Roman"/>
          <w:b/>
          <w:bCs/>
          <w:lang w:val="es-MX"/>
        </w:rPr>
        <w:t xml:space="preserve">eneral del </w:t>
      </w:r>
      <w:r w:rsidR="000C04FF">
        <w:rPr>
          <w:rFonts w:ascii="Times New Roman" w:hAnsi="Times New Roman" w:cs="Times New Roman"/>
          <w:b/>
          <w:bCs/>
          <w:lang w:val="es-MX"/>
        </w:rPr>
        <w:t>t</w:t>
      </w:r>
      <w:r w:rsidRPr="000F488F">
        <w:rPr>
          <w:rFonts w:ascii="Times New Roman" w:hAnsi="Times New Roman" w:cs="Times New Roman"/>
          <w:b/>
          <w:bCs/>
          <w:lang w:val="es-MX"/>
        </w:rPr>
        <w:t>ema</w:t>
      </w:r>
      <w:r>
        <w:rPr>
          <w:rFonts w:ascii="Times New Roman" w:hAnsi="Times New Roman" w:cs="Times New Roman"/>
          <w:b/>
          <w:bCs/>
          <w:lang w:val="es-MX"/>
        </w:rPr>
        <w:t>:</w:t>
      </w:r>
    </w:p>
    <w:p w14:paraId="0FD6CF05" w14:textId="77777777" w:rsidR="000F488F" w:rsidRDefault="000F488F" w:rsidP="007841AE">
      <w:pPr>
        <w:spacing w:line="276" w:lineRule="auto"/>
        <w:jc w:val="both"/>
        <w:rPr>
          <w:rFonts w:ascii="Times New Roman" w:hAnsi="Times New Roman" w:cs="Times New Roman"/>
          <w:lang w:val="es-MX"/>
        </w:rPr>
      </w:pPr>
      <w:r w:rsidRPr="000F488F">
        <w:rPr>
          <w:rFonts w:ascii="Times New Roman" w:hAnsi="Times New Roman" w:cs="Times New Roman"/>
          <w:lang w:val="es-MX"/>
        </w:rPr>
        <w:t>El desarrollo de infraestructura pública constituye un pilar fundamental para el bienestar socioeconómico, la competitividad territorial y el crecimiento sostenible a nivel global. En el ámbito de la administración pública local, especialmente dentro de los Gobiernos Autónomos Descentralizados (GAD) municipales de economías en desarrollo, la ejecución exitosa de estas obras es crucial para satisfacer las demandas ciudadanas básicas y dinamizar la economía local. Sin embargo, la gestión de proyectos de construcción civil en el sector público se encuentra inmersa en un entorno dinámico y altamente complejo. Las municipalidades enfrentan de manera sistemática desafíos estructurales que van desde severas restricciones presupuestarias y fluctuaciones macroeconómicas hasta rigideces burocráticas y presiones políticas, factores que frecuentemente derivan en ineficiencias, retrasos cronológicos o el abandono definitivo de las obras.</w:t>
      </w:r>
    </w:p>
    <w:p w14:paraId="20CD0743" w14:textId="34339BBA" w:rsidR="004629FE" w:rsidRPr="004629FE" w:rsidRDefault="000F488F" w:rsidP="000F488F">
      <w:pPr>
        <w:spacing w:line="276" w:lineRule="auto"/>
        <w:jc w:val="both"/>
        <w:rPr>
          <w:rFonts w:ascii="Times New Roman" w:hAnsi="Times New Roman" w:cs="Times New Roman"/>
          <w:b/>
          <w:bCs/>
          <w:lang w:val="es-MX"/>
        </w:rPr>
      </w:pPr>
      <w:r w:rsidRPr="004629FE">
        <w:rPr>
          <w:rFonts w:ascii="Times New Roman" w:hAnsi="Times New Roman" w:cs="Times New Roman"/>
          <w:b/>
          <w:bCs/>
          <w:lang w:val="es-MX"/>
        </w:rPr>
        <w:t xml:space="preserve">Estado del </w:t>
      </w:r>
      <w:r w:rsidR="000C04FF">
        <w:rPr>
          <w:rFonts w:ascii="Times New Roman" w:hAnsi="Times New Roman" w:cs="Times New Roman"/>
          <w:b/>
          <w:bCs/>
          <w:lang w:val="es-MX"/>
        </w:rPr>
        <w:t>a</w:t>
      </w:r>
      <w:r w:rsidRPr="004629FE">
        <w:rPr>
          <w:rFonts w:ascii="Times New Roman" w:hAnsi="Times New Roman" w:cs="Times New Roman"/>
          <w:b/>
          <w:bCs/>
          <w:lang w:val="es-MX"/>
        </w:rPr>
        <w:t xml:space="preserve">rte: Qué </w:t>
      </w:r>
      <w:r w:rsidR="000C04FF">
        <w:rPr>
          <w:rFonts w:ascii="Times New Roman" w:hAnsi="Times New Roman" w:cs="Times New Roman"/>
          <w:b/>
          <w:bCs/>
          <w:lang w:val="es-MX"/>
        </w:rPr>
        <w:t>d</w:t>
      </w:r>
      <w:r w:rsidRPr="004629FE">
        <w:rPr>
          <w:rFonts w:ascii="Times New Roman" w:hAnsi="Times New Roman" w:cs="Times New Roman"/>
          <w:b/>
          <w:bCs/>
          <w:lang w:val="es-MX"/>
        </w:rPr>
        <w:t xml:space="preserve">ice la </w:t>
      </w:r>
      <w:r w:rsidR="000A4458">
        <w:rPr>
          <w:rFonts w:ascii="Times New Roman" w:hAnsi="Times New Roman" w:cs="Times New Roman"/>
          <w:b/>
          <w:bCs/>
          <w:lang w:val="es-MX"/>
        </w:rPr>
        <w:t>l</w:t>
      </w:r>
      <w:r w:rsidRPr="004629FE">
        <w:rPr>
          <w:rFonts w:ascii="Times New Roman" w:hAnsi="Times New Roman" w:cs="Times New Roman"/>
          <w:b/>
          <w:bCs/>
          <w:lang w:val="es-MX"/>
        </w:rPr>
        <w:t xml:space="preserve">iteratura </w:t>
      </w:r>
      <w:r w:rsidR="000A4458">
        <w:rPr>
          <w:rFonts w:ascii="Times New Roman" w:hAnsi="Times New Roman" w:cs="Times New Roman"/>
          <w:b/>
          <w:bCs/>
          <w:lang w:val="es-MX"/>
        </w:rPr>
        <w:t>a</w:t>
      </w:r>
      <w:r w:rsidRPr="004629FE">
        <w:rPr>
          <w:rFonts w:ascii="Times New Roman" w:hAnsi="Times New Roman" w:cs="Times New Roman"/>
          <w:b/>
          <w:bCs/>
          <w:lang w:val="es-MX"/>
        </w:rPr>
        <w:t>ctual</w:t>
      </w:r>
    </w:p>
    <w:p w14:paraId="3C6FB6D6" w14:textId="2FA57AA5" w:rsidR="004629FE" w:rsidRDefault="000F488F" w:rsidP="000F488F">
      <w:pPr>
        <w:spacing w:line="276" w:lineRule="auto"/>
        <w:jc w:val="both"/>
        <w:rPr>
          <w:rFonts w:ascii="Times New Roman" w:hAnsi="Times New Roman" w:cs="Times New Roman"/>
          <w:lang w:val="es-MX"/>
        </w:rPr>
      </w:pPr>
      <w:r w:rsidRPr="000F488F">
        <w:rPr>
          <w:rFonts w:ascii="Times New Roman" w:hAnsi="Times New Roman" w:cs="Times New Roman"/>
          <w:lang w:val="es-MX"/>
        </w:rPr>
        <w:t xml:space="preserve">La literatura contemporánea en gestión de proyectos ha priorizado la identificación y evaluación de los Factores Críticos de Éxito (FCE) como un enfoque metodológico clave para mitigar el fracaso institucional. Al explorar estas variables, las investigaciones de Amade et al. (2015) </w:t>
      </w:r>
      <w:r w:rsidR="00667D69">
        <w:rPr>
          <w:rFonts w:ascii="Times New Roman" w:hAnsi="Times New Roman" w:cs="Times New Roman"/>
          <w:lang w:val="es-MX"/>
        </w:rPr>
        <w:t>indican</w:t>
      </w:r>
      <w:r w:rsidRPr="000F488F">
        <w:rPr>
          <w:rFonts w:ascii="Times New Roman" w:hAnsi="Times New Roman" w:cs="Times New Roman"/>
          <w:lang w:val="es-MX"/>
        </w:rPr>
        <w:t xml:space="preserve"> que el estudio de los FCE permite predecir el desempeño de las obras, demostrando formalmente a través de análisis estadísticos que una planificación adecuada posee un impacto positivo y significativo en el éxito de los proyectos públicos, por encima de factores tradicionales de contratación.  Por su parte, el estudio desarrollado por Ahsen et al. (2021) expande esta perspectiva sectorial al determinar </w:t>
      </w:r>
      <w:r w:rsidR="004629FE" w:rsidRPr="000F488F">
        <w:rPr>
          <w:rFonts w:ascii="Times New Roman" w:hAnsi="Times New Roman" w:cs="Times New Roman"/>
          <w:lang w:val="es-MX"/>
        </w:rPr>
        <w:t>que,</w:t>
      </w:r>
      <w:r w:rsidRPr="000F488F">
        <w:rPr>
          <w:rFonts w:ascii="Times New Roman" w:hAnsi="Times New Roman" w:cs="Times New Roman"/>
          <w:lang w:val="es-MX"/>
        </w:rPr>
        <w:t xml:space="preserve"> en entornos gubernamentales de países en desarrollo, el rol activo del gobierno, la capacidad técnica del cliente y una rigurosa estructura de gestión pública representan las dimensiones más determinantes para mitigar riesgos organizacionales y sobrecostos. </w:t>
      </w:r>
      <w:r w:rsidR="004629FE">
        <w:rPr>
          <w:rFonts w:ascii="Times New Roman" w:hAnsi="Times New Roman" w:cs="Times New Roman"/>
          <w:lang w:val="es-MX"/>
        </w:rPr>
        <w:t>También</w:t>
      </w:r>
      <w:r w:rsidRPr="000F488F">
        <w:rPr>
          <w:rFonts w:ascii="Times New Roman" w:hAnsi="Times New Roman" w:cs="Times New Roman"/>
          <w:lang w:val="es-MX"/>
        </w:rPr>
        <w:t xml:space="preserve"> </w:t>
      </w:r>
      <w:proofErr w:type="spellStart"/>
      <w:r w:rsidRPr="000F488F">
        <w:rPr>
          <w:rFonts w:ascii="Times New Roman" w:hAnsi="Times New Roman" w:cs="Times New Roman"/>
          <w:lang w:val="es-MX"/>
        </w:rPr>
        <w:t>Yamany</w:t>
      </w:r>
      <w:proofErr w:type="spellEnd"/>
      <w:r w:rsidRPr="000F488F">
        <w:rPr>
          <w:rFonts w:ascii="Times New Roman" w:hAnsi="Times New Roman" w:cs="Times New Roman"/>
          <w:lang w:val="es-MX"/>
        </w:rPr>
        <w:t xml:space="preserve"> et al. (2024) resalta la naturaleza multidimensional del ciclo de vida del proyecto, concluyendo que la fase de construcción es la más crítica para el éxito final; por ende, se requiere priorizar de manera obligatoria la competencia del gerente del proyecto, el flujo ininterrumpido de financiamiento y canales robustos de comunicación y coordinación entre los diversos stakeholders involucrados. De este modo, la ciencia administrativa valida que los componentes humanos, normativos y financieros estructuran el núcleo de la eficiencia en la infraestructura civil.  </w:t>
      </w:r>
    </w:p>
    <w:p w14:paraId="204933DD" w14:textId="59D90BB4" w:rsidR="004629FE" w:rsidRPr="004629FE" w:rsidRDefault="000F488F" w:rsidP="000F488F">
      <w:pPr>
        <w:spacing w:line="276" w:lineRule="auto"/>
        <w:jc w:val="both"/>
        <w:rPr>
          <w:rFonts w:ascii="Times New Roman" w:hAnsi="Times New Roman" w:cs="Times New Roman"/>
          <w:b/>
          <w:bCs/>
          <w:lang w:val="es-MX"/>
        </w:rPr>
      </w:pPr>
      <w:r w:rsidRPr="004629FE">
        <w:rPr>
          <w:rFonts w:ascii="Times New Roman" w:hAnsi="Times New Roman" w:cs="Times New Roman"/>
          <w:b/>
          <w:bCs/>
          <w:lang w:val="es-MX"/>
        </w:rPr>
        <w:t xml:space="preserve">Brecha de Investigación: Qué </w:t>
      </w:r>
      <w:r w:rsidR="004629FE">
        <w:rPr>
          <w:rFonts w:ascii="Times New Roman" w:hAnsi="Times New Roman" w:cs="Times New Roman"/>
          <w:b/>
          <w:bCs/>
          <w:lang w:val="es-MX"/>
        </w:rPr>
        <w:t>n</w:t>
      </w:r>
      <w:r w:rsidRPr="004629FE">
        <w:rPr>
          <w:rFonts w:ascii="Times New Roman" w:hAnsi="Times New Roman" w:cs="Times New Roman"/>
          <w:b/>
          <w:bCs/>
          <w:lang w:val="es-MX"/>
        </w:rPr>
        <w:t xml:space="preserve">o </w:t>
      </w:r>
      <w:r w:rsidR="004629FE">
        <w:rPr>
          <w:rFonts w:ascii="Times New Roman" w:hAnsi="Times New Roman" w:cs="Times New Roman"/>
          <w:b/>
          <w:bCs/>
          <w:lang w:val="es-MX"/>
        </w:rPr>
        <w:t>s</w:t>
      </w:r>
      <w:r w:rsidRPr="004629FE">
        <w:rPr>
          <w:rFonts w:ascii="Times New Roman" w:hAnsi="Times New Roman" w:cs="Times New Roman"/>
          <w:b/>
          <w:bCs/>
          <w:lang w:val="es-MX"/>
        </w:rPr>
        <w:t xml:space="preserve">e </w:t>
      </w:r>
      <w:r w:rsidR="004629FE">
        <w:rPr>
          <w:rFonts w:ascii="Times New Roman" w:hAnsi="Times New Roman" w:cs="Times New Roman"/>
          <w:b/>
          <w:bCs/>
          <w:lang w:val="es-MX"/>
        </w:rPr>
        <w:t>h</w:t>
      </w:r>
      <w:r w:rsidRPr="004629FE">
        <w:rPr>
          <w:rFonts w:ascii="Times New Roman" w:hAnsi="Times New Roman" w:cs="Times New Roman"/>
          <w:b/>
          <w:bCs/>
          <w:lang w:val="es-MX"/>
        </w:rPr>
        <w:t xml:space="preserve">a </w:t>
      </w:r>
      <w:r w:rsidR="004629FE">
        <w:rPr>
          <w:rFonts w:ascii="Times New Roman" w:hAnsi="Times New Roman" w:cs="Times New Roman"/>
          <w:b/>
          <w:bCs/>
          <w:lang w:val="es-MX"/>
        </w:rPr>
        <w:t>e</w:t>
      </w:r>
      <w:r w:rsidRPr="004629FE">
        <w:rPr>
          <w:rFonts w:ascii="Times New Roman" w:hAnsi="Times New Roman" w:cs="Times New Roman"/>
          <w:b/>
          <w:bCs/>
          <w:lang w:val="es-MX"/>
        </w:rPr>
        <w:t xml:space="preserve">studiado </w:t>
      </w:r>
      <w:r w:rsidR="004629FE">
        <w:rPr>
          <w:rFonts w:ascii="Times New Roman" w:hAnsi="Times New Roman" w:cs="Times New Roman"/>
          <w:b/>
          <w:bCs/>
          <w:lang w:val="es-MX"/>
        </w:rPr>
        <w:t>t</w:t>
      </w:r>
      <w:r w:rsidRPr="004629FE">
        <w:rPr>
          <w:rFonts w:ascii="Times New Roman" w:hAnsi="Times New Roman" w:cs="Times New Roman"/>
          <w:b/>
          <w:bCs/>
          <w:lang w:val="es-MX"/>
        </w:rPr>
        <w:t>odavía</w:t>
      </w:r>
    </w:p>
    <w:p w14:paraId="6DD1A5E6" w14:textId="77777777" w:rsidR="00667D69" w:rsidRDefault="000F488F" w:rsidP="000F488F">
      <w:pPr>
        <w:spacing w:line="276" w:lineRule="auto"/>
        <w:jc w:val="both"/>
        <w:rPr>
          <w:rFonts w:ascii="Times New Roman" w:hAnsi="Times New Roman" w:cs="Times New Roman"/>
          <w:lang w:val="es-MX"/>
        </w:rPr>
      </w:pPr>
      <w:r w:rsidRPr="000F488F">
        <w:rPr>
          <w:rFonts w:ascii="Times New Roman" w:hAnsi="Times New Roman" w:cs="Times New Roman"/>
          <w:lang w:val="es-MX"/>
        </w:rPr>
        <w:t xml:space="preserve">A pesar </w:t>
      </w:r>
      <w:r w:rsidR="00667D69">
        <w:rPr>
          <w:rFonts w:ascii="Times New Roman" w:hAnsi="Times New Roman" w:cs="Times New Roman"/>
          <w:lang w:val="es-MX"/>
        </w:rPr>
        <w:t>de que existen muchas</w:t>
      </w:r>
      <w:r w:rsidRPr="000F488F">
        <w:rPr>
          <w:rFonts w:ascii="Times New Roman" w:hAnsi="Times New Roman" w:cs="Times New Roman"/>
          <w:lang w:val="es-MX"/>
        </w:rPr>
        <w:t xml:space="preserve"> investigaciones internacionales orientadas a catalogar los FCE en macroproyectos de infraestructura, se identifica una desconexión teórica y empírica sustancial respecto a las administraciones locales de menor escala y con regímenes de descentralización </w:t>
      </w:r>
      <w:r w:rsidRPr="000F488F">
        <w:rPr>
          <w:rFonts w:ascii="Times New Roman" w:hAnsi="Times New Roman" w:cs="Times New Roman"/>
          <w:lang w:val="es-MX"/>
        </w:rPr>
        <w:lastRenderedPageBreak/>
        <w:t xml:space="preserve">específicos. La gran mayoría de los modelos predictivos actuales han sido formulados y validados en grandes urbes metropolitanas o contextos nacionales centralizados de Asia, África o Medio Oriente.  Consecuentemente, existe una marcada ausencia de evidencia científica que examine cómo operan, interactúan y se jerarquizan estos factores dentro de un Gobierno Autónomo Descentralizado Municipal intermedio en el ecosistema latinoamericano, específicamente en el cantón La Troncal, provincia de Cañar, Ecuador. La literatura actual no ha resuelto cómo las particularidades presupuestarias locales, la cultura organizacional de los funcionarios municipales y las dinámicas </w:t>
      </w:r>
      <w:r w:rsidR="00667D69" w:rsidRPr="000F488F">
        <w:rPr>
          <w:rFonts w:ascii="Times New Roman" w:hAnsi="Times New Roman" w:cs="Times New Roman"/>
          <w:lang w:val="es-MX"/>
        </w:rPr>
        <w:t>sociopolíticas</w:t>
      </w:r>
      <w:r w:rsidRPr="000F488F">
        <w:rPr>
          <w:rFonts w:ascii="Times New Roman" w:hAnsi="Times New Roman" w:cs="Times New Roman"/>
          <w:lang w:val="es-MX"/>
        </w:rPr>
        <w:t xml:space="preserve"> cantonales de la región periférica ecuatoriana alteran la efectividad de las herramientas de gestión estandarizadas globalmente.</w:t>
      </w:r>
      <w:r w:rsidR="00667D69">
        <w:rPr>
          <w:rFonts w:ascii="Times New Roman" w:hAnsi="Times New Roman" w:cs="Times New Roman"/>
          <w:lang w:val="es-MX"/>
        </w:rPr>
        <w:t xml:space="preserve"> </w:t>
      </w:r>
    </w:p>
    <w:p w14:paraId="0209440C" w14:textId="17ED0021" w:rsidR="000A4458" w:rsidRPr="000A4458" w:rsidRDefault="000F488F" w:rsidP="000F488F">
      <w:pPr>
        <w:spacing w:line="276" w:lineRule="auto"/>
        <w:jc w:val="both"/>
        <w:rPr>
          <w:rFonts w:ascii="Times New Roman" w:hAnsi="Times New Roman" w:cs="Times New Roman"/>
          <w:b/>
          <w:bCs/>
          <w:lang w:val="es-MX"/>
        </w:rPr>
      </w:pPr>
      <w:r w:rsidRPr="000A4458">
        <w:rPr>
          <w:rFonts w:ascii="Times New Roman" w:hAnsi="Times New Roman" w:cs="Times New Roman"/>
          <w:b/>
          <w:bCs/>
          <w:lang w:val="es-MX"/>
        </w:rPr>
        <w:t xml:space="preserve">Cómo la </w:t>
      </w:r>
      <w:r w:rsidR="000A4458" w:rsidRPr="000A4458">
        <w:rPr>
          <w:rFonts w:ascii="Times New Roman" w:hAnsi="Times New Roman" w:cs="Times New Roman"/>
          <w:b/>
          <w:bCs/>
          <w:lang w:val="es-MX"/>
        </w:rPr>
        <w:t>i</w:t>
      </w:r>
      <w:r w:rsidRPr="000A4458">
        <w:rPr>
          <w:rFonts w:ascii="Times New Roman" w:hAnsi="Times New Roman" w:cs="Times New Roman"/>
          <w:b/>
          <w:bCs/>
          <w:lang w:val="es-MX"/>
        </w:rPr>
        <w:t xml:space="preserve">nvestigación </w:t>
      </w:r>
      <w:r w:rsidR="000A4458" w:rsidRPr="000A4458">
        <w:rPr>
          <w:rFonts w:ascii="Times New Roman" w:hAnsi="Times New Roman" w:cs="Times New Roman"/>
          <w:b/>
          <w:bCs/>
          <w:lang w:val="es-MX"/>
        </w:rPr>
        <w:t>l</w:t>
      </w:r>
      <w:r w:rsidRPr="000A4458">
        <w:rPr>
          <w:rFonts w:ascii="Times New Roman" w:hAnsi="Times New Roman" w:cs="Times New Roman"/>
          <w:b/>
          <w:bCs/>
          <w:lang w:val="es-MX"/>
        </w:rPr>
        <w:t xml:space="preserve">lena </w:t>
      </w:r>
      <w:r w:rsidR="000A4458" w:rsidRPr="000A4458">
        <w:rPr>
          <w:rFonts w:ascii="Times New Roman" w:hAnsi="Times New Roman" w:cs="Times New Roman"/>
          <w:b/>
          <w:bCs/>
          <w:lang w:val="es-MX"/>
        </w:rPr>
        <w:t>e</w:t>
      </w:r>
      <w:r w:rsidRPr="000A4458">
        <w:rPr>
          <w:rFonts w:ascii="Times New Roman" w:hAnsi="Times New Roman" w:cs="Times New Roman"/>
          <w:b/>
          <w:bCs/>
          <w:lang w:val="es-MX"/>
        </w:rPr>
        <w:t>s</w:t>
      </w:r>
      <w:r w:rsidR="000A4458">
        <w:rPr>
          <w:rFonts w:ascii="Times New Roman" w:hAnsi="Times New Roman" w:cs="Times New Roman"/>
          <w:b/>
          <w:bCs/>
          <w:lang w:val="es-MX"/>
        </w:rPr>
        <w:t>t</w:t>
      </w:r>
      <w:r w:rsidRPr="000A4458">
        <w:rPr>
          <w:rFonts w:ascii="Times New Roman" w:hAnsi="Times New Roman" w:cs="Times New Roman"/>
          <w:b/>
          <w:bCs/>
          <w:lang w:val="es-MX"/>
        </w:rPr>
        <w:t xml:space="preserve">a </w:t>
      </w:r>
      <w:r w:rsidR="000A4458" w:rsidRPr="000A4458">
        <w:rPr>
          <w:rFonts w:ascii="Times New Roman" w:hAnsi="Times New Roman" w:cs="Times New Roman"/>
          <w:b/>
          <w:bCs/>
          <w:lang w:val="es-MX"/>
        </w:rPr>
        <w:t>b</w:t>
      </w:r>
      <w:r w:rsidRPr="000A4458">
        <w:rPr>
          <w:rFonts w:ascii="Times New Roman" w:hAnsi="Times New Roman" w:cs="Times New Roman"/>
          <w:b/>
          <w:bCs/>
          <w:lang w:val="es-MX"/>
        </w:rPr>
        <w:t>recha</w:t>
      </w:r>
      <w:r w:rsidR="000A4458" w:rsidRPr="000A4458">
        <w:rPr>
          <w:rFonts w:ascii="Times New Roman" w:hAnsi="Times New Roman" w:cs="Times New Roman"/>
          <w:b/>
          <w:bCs/>
          <w:lang w:val="es-MX"/>
        </w:rPr>
        <w:t>:</w:t>
      </w:r>
    </w:p>
    <w:p w14:paraId="77440828" w14:textId="15B5FF21" w:rsidR="000F488F" w:rsidRDefault="000F488F" w:rsidP="000F488F">
      <w:pPr>
        <w:spacing w:line="276" w:lineRule="auto"/>
        <w:jc w:val="both"/>
        <w:rPr>
          <w:rFonts w:ascii="Times New Roman" w:hAnsi="Times New Roman" w:cs="Times New Roman"/>
          <w:lang w:val="es-MX"/>
        </w:rPr>
      </w:pPr>
      <w:r w:rsidRPr="000F488F">
        <w:rPr>
          <w:rFonts w:ascii="Times New Roman" w:hAnsi="Times New Roman" w:cs="Times New Roman"/>
          <w:lang w:val="es-MX"/>
        </w:rPr>
        <w:t xml:space="preserve">El presente artículo científico subsana de manera directa este vacío del conocimiento mediante el diseño y la validación empírica de un modelo de gestión basado en factores críticos de éxito adaptado estrictamente a la realidad de los GAD municipales ecuatorianos. Al situar el objeto de estudio específicamente en el GAD Municipal del cantón La Troncal, esta investigación no se limita a replicar las métricas de planificación e idoneidad técnica expuestas por autores como Amade et al. (2015) y </w:t>
      </w:r>
      <w:proofErr w:type="spellStart"/>
      <w:r w:rsidRPr="000F488F">
        <w:rPr>
          <w:rFonts w:ascii="Times New Roman" w:hAnsi="Times New Roman" w:cs="Times New Roman"/>
          <w:lang w:val="es-MX"/>
        </w:rPr>
        <w:t>Yamany</w:t>
      </w:r>
      <w:proofErr w:type="spellEnd"/>
      <w:r w:rsidRPr="000F488F">
        <w:rPr>
          <w:rFonts w:ascii="Times New Roman" w:hAnsi="Times New Roman" w:cs="Times New Roman"/>
          <w:lang w:val="es-MX"/>
        </w:rPr>
        <w:t xml:space="preserve"> et al. (2024), sino que contextualiza las variables macro de gobernanza y capacidad del cliente propuestas por Ahsen et al. (2021) bajo el marco jurídico y operativo del Código Orgánico de Organización Territorial, Autonomía y Descentralización (COOTAD) de Ecuador. Así, este trabajo ofrece un marco analítico de alto nivel académico que redefine el éxito constructivo desde la especificidad municipal, generando un instrumento científico e institucional de alto valor para optimizar la inversión pública en la infraestructura de la región.  </w:t>
      </w:r>
    </w:p>
    <w:p w14:paraId="17A59C9A" w14:textId="77777777" w:rsidR="000F488F" w:rsidRDefault="000F488F" w:rsidP="004B01E5">
      <w:pPr>
        <w:spacing w:line="276" w:lineRule="auto"/>
        <w:rPr>
          <w:rFonts w:ascii="Times New Roman" w:hAnsi="Times New Roman" w:cs="Times New Roman"/>
          <w:lang w:val="es-MX"/>
        </w:rPr>
      </w:pPr>
    </w:p>
    <w:p w14:paraId="1817C82E" w14:textId="77777777" w:rsidR="0054436C" w:rsidRDefault="0054436C" w:rsidP="004B01E5">
      <w:pPr>
        <w:spacing w:line="276" w:lineRule="auto"/>
        <w:rPr>
          <w:rFonts w:ascii="Times New Roman" w:hAnsi="Times New Roman" w:cs="Times New Roman"/>
          <w:lang w:val="es-MX"/>
        </w:rPr>
      </w:pPr>
    </w:p>
    <w:p w14:paraId="0ED657EB" w14:textId="77777777" w:rsidR="0054436C" w:rsidRDefault="0054436C" w:rsidP="004B01E5">
      <w:pPr>
        <w:spacing w:line="276" w:lineRule="auto"/>
        <w:rPr>
          <w:rFonts w:ascii="Times New Roman" w:hAnsi="Times New Roman" w:cs="Times New Roman"/>
          <w:lang w:val="es-MX"/>
        </w:rPr>
      </w:pPr>
    </w:p>
    <w:p w14:paraId="6677A042" w14:textId="77777777" w:rsidR="0054436C" w:rsidRDefault="0054436C" w:rsidP="004B01E5">
      <w:pPr>
        <w:spacing w:line="276" w:lineRule="auto"/>
        <w:rPr>
          <w:rFonts w:ascii="Times New Roman" w:hAnsi="Times New Roman" w:cs="Times New Roman"/>
          <w:lang w:val="es-MX"/>
        </w:rPr>
      </w:pPr>
    </w:p>
    <w:p w14:paraId="7D20EC31" w14:textId="77777777" w:rsidR="0054436C" w:rsidRDefault="0054436C" w:rsidP="004B01E5">
      <w:pPr>
        <w:spacing w:line="276" w:lineRule="auto"/>
        <w:rPr>
          <w:rFonts w:ascii="Times New Roman" w:hAnsi="Times New Roman" w:cs="Times New Roman"/>
          <w:lang w:val="es-MX"/>
        </w:rPr>
      </w:pPr>
    </w:p>
    <w:p w14:paraId="14AADDBD" w14:textId="77777777" w:rsidR="0054436C" w:rsidRDefault="0054436C" w:rsidP="004B01E5">
      <w:pPr>
        <w:spacing w:line="276" w:lineRule="auto"/>
        <w:rPr>
          <w:rFonts w:ascii="Times New Roman" w:hAnsi="Times New Roman" w:cs="Times New Roman"/>
          <w:lang w:val="es-MX"/>
        </w:rPr>
      </w:pPr>
    </w:p>
    <w:p w14:paraId="52C33CA9" w14:textId="77777777" w:rsidR="0054436C" w:rsidRDefault="0054436C" w:rsidP="004B01E5">
      <w:pPr>
        <w:spacing w:line="276" w:lineRule="auto"/>
        <w:rPr>
          <w:rFonts w:ascii="Times New Roman" w:hAnsi="Times New Roman" w:cs="Times New Roman"/>
          <w:lang w:val="es-MX"/>
        </w:rPr>
      </w:pPr>
    </w:p>
    <w:p w14:paraId="078E2993" w14:textId="77777777" w:rsidR="0054436C" w:rsidRDefault="0054436C" w:rsidP="004B01E5">
      <w:pPr>
        <w:spacing w:line="276" w:lineRule="auto"/>
        <w:rPr>
          <w:rFonts w:ascii="Times New Roman" w:hAnsi="Times New Roman" w:cs="Times New Roman"/>
          <w:lang w:val="es-MX"/>
        </w:rPr>
      </w:pPr>
    </w:p>
    <w:p w14:paraId="164023F3" w14:textId="77777777" w:rsidR="0054436C" w:rsidRDefault="0054436C" w:rsidP="004B01E5">
      <w:pPr>
        <w:spacing w:line="276" w:lineRule="auto"/>
        <w:rPr>
          <w:rFonts w:ascii="Times New Roman" w:hAnsi="Times New Roman" w:cs="Times New Roman"/>
          <w:lang w:val="es-MX"/>
        </w:rPr>
      </w:pPr>
    </w:p>
    <w:p w14:paraId="389B1E18" w14:textId="77777777" w:rsidR="0054436C" w:rsidRDefault="0054436C" w:rsidP="004B01E5">
      <w:pPr>
        <w:spacing w:line="276" w:lineRule="auto"/>
        <w:rPr>
          <w:rFonts w:ascii="Times New Roman" w:hAnsi="Times New Roman" w:cs="Times New Roman"/>
          <w:lang w:val="es-MX"/>
        </w:rPr>
      </w:pPr>
    </w:p>
    <w:p w14:paraId="362CA356" w14:textId="77777777" w:rsidR="0054436C" w:rsidRDefault="0054436C" w:rsidP="004B01E5">
      <w:pPr>
        <w:spacing w:line="276" w:lineRule="auto"/>
        <w:rPr>
          <w:rFonts w:ascii="Times New Roman" w:hAnsi="Times New Roman" w:cs="Times New Roman"/>
          <w:lang w:val="es-MX"/>
        </w:rPr>
      </w:pPr>
    </w:p>
    <w:p w14:paraId="2987481D" w14:textId="6FD0F929" w:rsidR="0054436C" w:rsidRPr="0054436C" w:rsidRDefault="0054436C" w:rsidP="0054436C">
      <w:pPr>
        <w:spacing w:line="276" w:lineRule="auto"/>
        <w:rPr>
          <w:rFonts w:ascii="Times New Roman" w:hAnsi="Times New Roman" w:cs="Times New Roman"/>
          <w:b/>
          <w:bCs/>
          <w:lang w:val="es-MX"/>
        </w:rPr>
      </w:pPr>
      <w:r w:rsidRPr="0054436C">
        <w:rPr>
          <w:rFonts w:ascii="Times New Roman" w:hAnsi="Times New Roman" w:cs="Times New Roman"/>
          <w:b/>
          <w:bCs/>
          <w:lang w:val="es-MX"/>
        </w:rPr>
        <w:lastRenderedPageBreak/>
        <w:t>Proceso utilizado</w:t>
      </w:r>
    </w:p>
    <w:p w14:paraId="1E46D2A1" w14:textId="4E1EC286" w:rsidR="0054436C" w:rsidRPr="0054436C" w:rsidRDefault="0054436C" w:rsidP="0054436C">
      <w:pPr>
        <w:pStyle w:val="Prrafodelista"/>
        <w:numPr>
          <w:ilvl w:val="0"/>
          <w:numId w:val="1"/>
        </w:numPr>
        <w:spacing w:line="276" w:lineRule="auto"/>
        <w:rPr>
          <w:rFonts w:ascii="Times New Roman" w:hAnsi="Times New Roman" w:cs="Times New Roman"/>
          <w:lang w:val="es-MX"/>
        </w:rPr>
      </w:pPr>
      <w:r>
        <w:rPr>
          <w:rFonts w:ascii="Times New Roman" w:hAnsi="Times New Roman" w:cs="Times New Roman"/>
          <w:lang w:val="es-MX"/>
        </w:rPr>
        <w:t xml:space="preserve">A partir de la pregunta de investigación: </w:t>
      </w:r>
    </w:p>
    <w:p w14:paraId="2E0C8A3E" w14:textId="44054F82" w:rsidR="0054436C" w:rsidRDefault="0054436C" w:rsidP="0054436C">
      <w:pPr>
        <w:spacing w:line="276" w:lineRule="auto"/>
        <w:rPr>
          <w:rFonts w:ascii="Times New Roman" w:hAnsi="Times New Roman" w:cs="Times New Roman"/>
          <w:lang w:val="es-MX"/>
        </w:rPr>
      </w:pPr>
      <w:r w:rsidRPr="0054436C">
        <w:rPr>
          <w:rFonts w:ascii="Times New Roman" w:hAnsi="Times New Roman" w:cs="Times New Roman"/>
          <w:lang w:val="es-MX"/>
        </w:rPr>
        <w:t>¿Los factores críticos contribuyen a incrementar el éxito de los proyectos de infraestructura en el Gobierno Autónomo Descentralizado Municipal del cantón La Troncal, en la provincia de Cañar, Ecuador?</w:t>
      </w:r>
    </w:p>
    <w:p w14:paraId="7B5AB0DD" w14:textId="6874B3A8" w:rsidR="0054436C" w:rsidRPr="0054436C" w:rsidRDefault="0054436C" w:rsidP="0054436C">
      <w:pPr>
        <w:pStyle w:val="Prrafodelista"/>
        <w:numPr>
          <w:ilvl w:val="0"/>
          <w:numId w:val="2"/>
        </w:numPr>
        <w:spacing w:line="276" w:lineRule="auto"/>
        <w:rPr>
          <w:rFonts w:ascii="Times New Roman" w:hAnsi="Times New Roman" w:cs="Times New Roman"/>
          <w:lang w:val="es-MX"/>
        </w:rPr>
      </w:pPr>
      <w:r w:rsidRPr="0054436C">
        <w:rPr>
          <w:rFonts w:ascii="Times New Roman" w:hAnsi="Times New Roman" w:cs="Times New Roman"/>
          <w:lang w:val="es-MX"/>
        </w:rPr>
        <w:t xml:space="preserve">Iniciamos </w:t>
      </w:r>
      <w:r>
        <w:rPr>
          <w:rFonts w:ascii="Times New Roman" w:hAnsi="Times New Roman" w:cs="Times New Roman"/>
          <w:lang w:val="es-MX"/>
        </w:rPr>
        <w:t>la exploración</w:t>
      </w:r>
      <w:r w:rsidRPr="0054436C">
        <w:rPr>
          <w:rFonts w:ascii="Times New Roman" w:hAnsi="Times New Roman" w:cs="Times New Roman"/>
          <w:lang w:val="es-MX"/>
        </w:rPr>
        <w:t xml:space="preserve"> utilizando Consensus, y filtros para Journals Q1 y Q2</w:t>
      </w:r>
      <w:r w:rsidR="009369FB">
        <w:rPr>
          <w:rFonts w:ascii="Times New Roman" w:hAnsi="Times New Roman" w:cs="Times New Roman"/>
          <w:lang w:val="es-MX"/>
        </w:rPr>
        <w:t>, con lo cual tenemos las principales referencias bibliográficas</w:t>
      </w:r>
    </w:p>
    <w:p w14:paraId="05DC1202" w14:textId="58D51BD1" w:rsidR="0054436C" w:rsidRDefault="0054436C" w:rsidP="0054436C">
      <w:pPr>
        <w:spacing w:line="276" w:lineRule="auto"/>
        <w:rPr>
          <w:rFonts w:ascii="Times New Roman" w:hAnsi="Times New Roman" w:cs="Times New Roman"/>
          <w:lang w:val="es-MX"/>
        </w:rPr>
      </w:pPr>
      <w:r>
        <w:rPr>
          <w:rFonts w:ascii="Times New Roman" w:hAnsi="Times New Roman" w:cs="Times New Roman"/>
          <w:lang w:val="es-MX"/>
        </w:rPr>
        <w:t xml:space="preserve"> </w:t>
      </w:r>
      <w:r w:rsidR="009369FB" w:rsidRPr="009369FB">
        <w:rPr>
          <w:rFonts w:ascii="Times New Roman" w:hAnsi="Times New Roman" w:cs="Times New Roman"/>
          <w:noProof/>
          <w:lang w:val="es-MX"/>
        </w:rPr>
        <w:drawing>
          <wp:inline distT="0" distB="0" distL="0" distR="0" wp14:anchorId="3BC54FC0" wp14:editId="1B9146AE">
            <wp:extent cx="5943600" cy="2640330"/>
            <wp:effectExtent l="0" t="0" r="0" b="7620"/>
            <wp:docPr id="1567426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26949" name=""/>
                    <pic:cNvPicPr/>
                  </pic:nvPicPr>
                  <pic:blipFill>
                    <a:blip r:embed="rId7"/>
                    <a:stretch>
                      <a:fillRect/>
                    </a:stretch>
                  </pic:blipFill>
                  <pic:spPr>
                    <a:xfrm>
                      <a:off x="0" y="0"/>
                      <a:ext cx="5943600" cy="2640330"/>
                    </a:xfrm>
                    <a:prstGeom prst="rect">
                      <a:avLst/>
                    </a:prstGeom>
                  </pic:spPr>
                </pic:pic>
              </a:graphicData>
            </a:graphic>
          </wp:inline>
        </w:drawing>
      </w:r>
      <w:r w:rsidR="009369FB" w:rsidRPr="009369FB">
        <w:rPr>
          <w:rFonts w:ascii="Times New Roman" w:hAnsi="Times New Roman" w:cs="Times New Roman"/>
          <w:lang w:val="es-MX"/>
        </w:rPr>
        <w:t xml:space="preserve"> </w:t>
      </w:r>
    </w:p>
    <w:p w14:paraId="19218784" w14:textId="6681C390" w:rsidR="0054436C" w:rsidRDefault="009369FB" w:rsidP="009369FB">
      <w:pPr>
        <w:pStyle w:val="Prrafodelista"/>
        <w:numPr>
          <w:ilvl w:val="0"/>
          <w:numId w:val="2"/>
        </w:numPr>
        <w:spacing w:line="276" w:lineRule="auto"/>
        <w:rPr>
          <w:rFonts w:ascii="Times New Roman" w:hAnsi="Times New Roman" w:cs="Times New Roman"/>
          <w:lang w:val="es-MX"/>
        </w:rPr>
      </w:pPr>
      <w:r>
        <w:rPr>
          <w:rFonts w:ascii="Times New Roman" w:hAnsi="Times New Roman" w:cs="Times New Roman"/>
          <w:lang w:val="es-MX"/>
        </w:rPr>
        <w:t>Además, utilizando la investigación mas profunda nos ayudó a determinar las brechas de investigación:</w:t>
      </w:r>
    </w:p>
    <w:p w14:paraId="5B3F3CC6" w14:textId="204A26B2" w:rsidR="009369FB" w:rsidRDefault="009369FB" w:rsidP="009369FB">
      <w:pPr>
        <w:spacing w:line="276" w:lineRule="auto"/>
        <w:rPr>
          <w:rFonts w:ascii="Times New Roman" w:hAnsi="Times New Roman" w:cs="Times New Roman"/>
          <w:lang w:val="es-MX"/>
        </w:rPr>
      </w:pPr>
      <w:r w:rsidRPr="009369FB">
        <w:rPr>
          <w:rFonts w:ascii="Times New Roman" w:hAnsi="Times New Roman" w:cs="Times New Roman"/>
          <w:noProof/>
          <w:lang w:val="es-MX"/>
        </w:rPr>
        <w:drawing>
          <wp:inline distT="0" distB="0" distL="0" distR="0" wp14:anchorId="57BB44C4" wp14:editId="74A30A13">
            <wp:extent cx="5943600" cy="2664460"/>
            <wp:effectExtent l="0" t="0" r="0" b="2540"/>
            <wp:docPr id="1959672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72736" name=""/>
                    <pic:cNvPicPr/>
                  </pic:nvPicPr>
                  <pic:blipFill>
                    <a:blip r:embed="rId8"/>
                    <a:stretch>
                      <a:fillRect/>
                    </a:stretch>
                  </pic:blipFill>
                  <pic:spPr>
                    <a:xfrm>
                      <a:off x="0" y="0"/>
                      <a:ext cx="5943600" cy="2664460"/>
                    </a:xfrm>
                    <a:prstGeom prst="rect">
                      <a:avLst/>
                    </a:prstGeom>
                  </pic:spPr>
                </pic:pic>
              </a:graphicData>
            </a:graphic>
          </wp:inline>
        </w:drawing>
      </w:r>
    </w:p>
    <w:p w14:paraId="2894BCC3" w14:textId="14E84741" w:rsidR="009369FB" w:rsidRDefault="00C34287" w:rsidP="00C34287">
      <w:pPr>
        <w:pStyle w:val="Prrafodelista"/>
        <w:numPr>
          <w:ilvl w:val="0"/>
          <w:numId w:val="2"/>
        </w:numPr>
        <w:spacing w:line="276" w:lineRule="auto"/>
        <w:rPr>
          <w:rFonts w:ascii="Times New Roman" w:hAnsi="Times New Roman" w:cs="Times New Roman"/>
          <w:lang w:val="es-MX"/>
        </w:rPr>
      </w:pPr>
      <w:r w:rsidRPr="00C34287">
        <w:rPr>
          <w:rFonts w:ascii="Times New Roman" w:hAnsi="Times New Roman" w:cs="Times New Roman"/>
          <w:lang w:val="es-MX"/>
        </w:rPr>
        <w:lastRenderedPageBreak/>
        <w:t xml:space="preserve">Se cargaron </w:t>
      </w:r>
      <w:r w:rsidR="00B24168">
        <w:rPr>
          <w:rFonts w:ascii="Times New Roman" w:hAnsi="Times New Roman" w:cs="Times New Roman"/>
          <w:lang w:val="es-MX"/>
        </w:rPr>
        <w:t>9</w:t>
      </w:r>
      <w:r w:rsidRPr="00C34287">
        <w:rPr>
          <w:rFonts w:ascii="Times New Roman" w:hAnsi="Times New Roman" w:cs="Times New Roman"/>
          <w:lang w:val="es-MX"/>
        </w:rPr>
        <w:t xml:space="preserve"> </w:t>
      </w:r>
      <w:proofErr w:type="spellStart"/>
      <w:r w:rsidRPr="00C34287">
        <w:rPr>
          <w:rFonts w:ascii="Times New Roman" w:hAnsi="Times New Roman" w:cs="Times New Roman"/>
          <w:lang w:val="es-MX"/>
        </w:rPr>
        <w:t>papers</w:t>
      </w:r>
      <w:proofErr w:type="spellEnd"/>
      <w:r w:rsidRPr="00C34287">
        <w:rPr>
          <w:rFonts w:ascii="Times New Roman" w:hAnsi="Times New Roman" w:cs="Times New Roman"/>
          <w:lang w:val="es-MX"/>
        </w:rPr>
        <w:t xml:space="preserve"> </w:t>
      </w:r>
      <w:r>
        <w:rPr>
          <w:rFonts w:ascii="Times New Roman" w:hAnsi="Times New Roman" w:cs="Times New Roman"/>
          <w:lang w:val="es-MX"/>
        </w:rPr>
        <w:t>en NotebookLM:</w:t>
      </w:r>
    </w:p>
    <w:p w14:paraId="3E8AEB52" w14:textId="77777777" w:rsidR="005424DE" w:rsidRDefault="005424DE" w:rsidP="005424DE">
      <w:pPr>
        <w:pStyle w:val="Prrafodelista"/>
        <w:spacing w:line="276" w:lineRule="auto"/>
        <w:rPr>
          <w:rFonts w:ascii="Times New Roman" w:hAnsi="Times New Roman" w:cs="Times New Roman"/>
          <w:lang w:val="es-MX"/>
        </w:rPr>
      </w:pPr>
    </w:p>
    <w:p w14:paraId="2F9CE2A2" w14:textId="314C5FED" w:rsidR="00C34287" w:rsidRPr="006D2A92" w:rsidRDefault="00B24168" w:rsidP="00C34287">
      <w:pPr>
        <w:pStyle w:val="Prrafodelista"/>
        <w:numPr>
          <w:ilvl w:val="0"/>
          <w:numId w:val="3"/>
        </w:numPr>
        <w:spacing w:line="276" w:lineRule="auto"/>
        <w:rPr>
          <w:rFonts w:ascii="Times New Roman" w:hAnsi="Times New Roman" w:cs="Times New Roman"/>
        </w:rPr>
      </w:pPr>
      <w:r>
        <w:rPr>
          <w:rFonts w:ascii="Times New Roman" w:hAnsi="Times New Roman" w:cs="Times New Roman"/>
          <w:lang w:val="es-MX"/>
        </w:rPr>
        <w:fldChar w:fldCharType="begin"/>
      </w:r>
      <w:r>
        <w:rPr>
          <w:rFonts w:ascii="Times New Roman" w:hAnsi="Times New Roman" w:cs="Times New Roman"/>
          <w:lang w:val="es-MX"/>
        </w:rPr>
        <w:instrText xml:space="preserve"> ADDIN ZOTERO_ITEM CSL_CITATION {"citationID":"XaFYhwaL","properties":{"unsorted":false,"formattedCitation":"(A. Alragabah &amp; Ahmed, 2024; Al-Ageeli &amp; Alzobaee, 2016; Al-Juboori et\\uc0\\u160{}al., 2021; Barajei et\\uc0\\u160{}al., 2023; Khalid et\\uc0\\u160{}al., 2013; Mwelu et\\uc0\\u160{}al., 2021; Sinesilassie et\\uc0\\u160{}al., 2019; \\uc0\\u171{}Success Factors Affecting Public Projects of Construction Industry in Pakistan\\uc0\\u187{}, 2021; Tabish &amp; Jha, 2011; Yamany et\\uc0\\u160{}al., 2024)","plainCitation":"(A. Alragabah &amp; Ahmed, 2024; Al-Ageeli &amp; Alzobaee, 2016; Al-Juboori et al., 2021; Barajei et al., 2023; Khalid et al., 2013; Mwelu et al., 2021; Sinesilassie et al., 2019; «Success Factors Affecting Public Projects of Construction Industry in Pakistan», 2021; Tabish &amp; Jha, 2011; Yamany et al., 2024)","noteIndex":0},"citationItems":[{"id":23,"uris":["http://zotero.org/users/local/3H7XaXC9/items/RI4QHZVW"],"itemData":{"id":23,"type":"article-journal","abstract":"Purpose – There is a limited number of research work on critical success factors (CSFs) in public construction projects in Saudi Arabia. In response to this knowledge gap, the objective of this paper is to assess the impact of CSFs on the government construction projects in Saudi Arabia. The success factors are investigated from a broader consideration of failure criteria, from consideration of most effectiveness in successful project completion and also from consideration of the impact of implementing control processes for successful project completion.","container-title":"Frontiers in Engineering and Built Environment","DOI":"10.1108/FEBE-10-2023-0048","ISSN":"2634-2499, 2634-2502","journalAbbreviation":"FEBE","language":"en","page":"115","source":"DOI.org (Crossref)","title":"Impact assessment of critical success factors (CSFs) in public construction projects of Saudi Arabia","volume":"4","author":[{"family":"A. Alragabah","given":"Yazeed"},{"family":"Ahmed","given":"Mohd."}],"issued":{"date-parts":[["2024",5,7]]}}},{"id":24,"uris":["http://zotero.org/users/local/3H7XaXC9/items/TEHIN78Q"],"itemData":{"id":24,"type":"article-journal","abstract":"The importance of the construction sector and its Great role in the provision of services and infrastructure, reduce poverty, improve living conditions and improve the economic situation in the country, impose attention to the way in which the projects implemented for its improvement and to get successful projects. The objective of this research was to determine the criteria for success as well as critical success and failure factors that have a significant impact on project success. A selected 75 engineer (department managers, project managers and engineers) are asked to fill the questionnaire form, Sixty-seven valid questionnaire forms were analyzed statistically to get search results, which were as follows : Twelve critical success factors, the most important factors of it were (\"contractor financial efficiency \", \" security ,political , economic stability \", \"the project manager competence\" and \" Integration and clarity of contract documents \") , thirteen critical failure factors, the most important factors of it were (\"corruption \" , \" external circumstances \", \"Financial difficulties of owner)\", and ten success criteria , the most important criteria of it were (\"within allocated budget\" , \" within time period\" , \"Quality\" ).","container-title":"Journal of Engineering","DOI":"10.31026/j.eng.2016.03.09","ISSN":"2520-3339, 1726-4073","issue":"3","journalAbbreviation":"jcoeng","language":"en","license":"https://creativecommons.org/licenses/by/4.0","page":"129-147","source":"DOI.org (Crossref)","title":"Critical Success Factors in Construction Projects (Governmental Projects as a Case Study)","volume":"22","author":[{"family":"Al-Ageeli","given":"Hatem Khaleefah"},{"family":"Alzobaee","given":"Abdul Salam J. Ali"}],"issued":{"date-parts":[["2016",3,1]]}}},{"id":21,"uris":["http://zotero.org/users/local/3H7XaXC9/items/PJH6ERPE"],"itemData":{"id":21,"type":"article-journal","abstract":"Water supply projects (WSP) requires high plan information, specialized capabilities, capable human resources, and high administrative capacity. However, in the developing countries, particularly in Iraq, these projects experience a lack of a large number of these necessities, which shows the need to identify the critical success factors (CSFs). Accordingly, the objectives of this research are to investigate the CSFs for WSP and their significance among the construction (public and private) and education sectors. To achieve this, first we have carried out a comprehensive literature review of the CSFs for WSP. Second, we administrated a questionnaire survey to 260 construction experts working in the construction and education sectors. It was found that the top five important success factors for water supply projects in Iraq were a stable political environment; sustainable construction legislation and regulation; effective risk management practices; well-organized and committed project teams; and government decisions through the project life cycle. The survey results did not indicate major differences in the perception of the experts. The findings are focused to assist construction practitioners’ gain better understanding on the important areas to achieve project set objectives.","container-title":"Civil and Environmental Engineering","DOI":"10.2478/cee-2021-0046","ISSN":"2199-6512","issue":"2","language":"en","license":"http://creativecommons.org/licenses/by/4.0","page":"438-449","source":"DOI.org (Crossref)","title":"Investigating the Critical Success Factors for Water Supply Projects: Case of Iraq","title-short":"Investigating the Critical Success Factors for Water Supply Projects","volume":"17","author":[{"family":"Al-Juboori","given":"Omar Akrm"},{"family":"Rashid","given":"Hatim A."},{"family":"Mahjoob","given":"Ahmed Mohammed Raoof"}],"issued":{"date-parts":[["2021",12,1]]}}},{"id":25,"uris":["http://zotero.org/users/local/3H7XaXC9/items/8E8WS3FV"],"itemData":{"id":25,"type":"article-journal","container-title":"Cogent Engineering","DOI":"10.1080/23311916.2023.2199514","ISSN":"2331-1916","issue":"1","journalAbbreviation":"Cogent Engineering","language":"en","page":"2199514","source":"DOI.org (Crossref)","title":"Enhancing the success of Ghanaian public road construction projects","volume":"10","author":[{"family":"Barajei","given":"Chelteau"},{"family":"Kheni","given":"Nongiba A."},{"family":"Appiah-Kubi","given":"Emmanuel"},{"family":"Danso","given":"Humphrey"},{"family":"Iddrisu","given":"Abdul Wahab"}],"issued":{"date-parts":[["2023",12,31]]}}},{"id":28,"uris":["http://zotero.org/users/local/3H7XaXC9/items/GIEUFTAB"],"itemData":{"id":28,"type":"article-journal","abstract":"The aim of this study was to develop constructs for project success factors and project success criteria in the public sector of a developing country, Pakistan, and to explore the relationship between them. Through a literature review we identified project variables for project success factors and criteria and from them we developed a survey instrument. A total of 176 fully completed responses were collected from a variety of stakeholders working on public sector projects in Pakistan. Exploratory factor analysis was used to develop constructs for project success factors and success criteria. Analysis, revealed eight success factors and, five success criteria. Multivariate regression was used to investigate the relationship between the project success factors and success criteria identified. Results showed that seven success factors had a positive relationship with one or more of the success criteria. Top management support, organizational &amp; managerial environment and project Characteristics showed the largest impact on project success. Only one factor, technical tasks had no impact on project success.","DOI":"10.13140/2.1.4832.9605","language":"en","publisher":"Unpublished","source":"DOI.org (Datacite)","title":"Factors that influence the success of public sector projects in Pakistan","URL":"https://www.researchgate.net/doi/10.13140/2.1.4832.9605","author":[{"family":"Khalid","given":"Ahmad"},{"literal":"Khan"},{"family":"Turner","given":"Rodney"},{"literal":"Tayyab"}],"accessed":{"date-parts":[["2026",7,3]]},"issued":{"date-parts":[["2013"]]}}},{"id":22,"uris":["http://zotero.org/users/local/3H7XaXC9/items/RHV2B8WG"],"itemData":{"id":22,"type":"article-journal","abstract":"The construction industry is known for its underperformance. Globally, construction projects are often delayed and completed above-estimated budgets because of inferior works and contract variations. These in turn negatively affect the goals set by public sector client. Many studies aim to establish factors for successful construction projects that include public road construction projects. However, challenges remain. Using institutional theory, this research focusses on success factors for implementing public road construction projects in Uganda. Loss of funds in such projects significantly affects and stalls the implementation process. This study is cross-sectional and structured self-administered questionnaires are used with Partial Least Square-Structural Equation Modeling (PLS-SEM) data analysis by Smart-PLS3 subsequently conducted. The findings reveal that professionalism, monitoring activities, familiarity with regulatory framework; perceived inefficiency of regulatory framework and compliance with these frameworks significantly enhances successful implementation of public road construction projects. However, sanctions on staff and contractors’ resistance to non-compliance are insignificant predictors. Governments should emphasize and embark on improving monitoring mechanisms and staff familiarity with public procurement regulatory frameworks to avoid manipulations by unethical project stakeholders especially on contract cost variation during implementation. These regulatory frameworks should be written in a less technical language that is easily interpreted by stakeholders. Recruitment of qualified staff is paramount.","container-title":"International Journal of Construction Management","DOI":"10.1080/15623599.2019.1573481","ISSN":"1562-3599, 2331-2327","issue":"6","journalAbbreviation":"International Journal of Construction Management","language":"en","page":"598-614","source":"DOI.org (Crossref)","title":"Success factors for implementing Uganda’s public road construction projects","volume":"21","author":[{"family":"Mwelu","given":"Noah"},{"family":"Davis","given":"Peter R."},{"family":"Ke","given":"Yongjian"},{"family":"Watundu","given":"Susan"},{"family":"Jefferies","given":"Marcus"}],"issued":{"date-parts":[["2021",6,3]]}}},{"id":26,"uris":["http://zotero.org/users/local/3H7XaXC9/items/6JGE7DP2"],"itemData":{"id":26,"type":"article-journal","abstract":"Purpose – The study of the success factors of a project is a means of improving the effectiveness of the project. Hence, the purpose of this paper is to identify various determinants and validate their effects on the success of public construction projects in Ethiopia.","container-title":"Engineering, Construction and Architectural Management","DOI":"10.1108/ECAM-04-2018-0162","ISSN":"0969-9988","issue":"10","journalAbbreviation":"ECAM","language":"en","license":"https://www.emerald.com/insight/site-policies","page":"2410-2431","source":"DOI.org (Crossref)","title":"Modeling success factors for public construction projects with the SEM approach: engineer’s perspective","title-short":"Modeling success factors for public construction projects with the SEM approach","volume":"26","author":[{"family":"Sinesilassie","given":"Ephrem Girma"},{"family":"Tripathi","given":"Kamalendra Kumar"},{"family":"Tabish","given":"Syed Zafar Shahid"},{"family":"Jha","given":"Kumar Neeraj"}],"issued":{"date-parts":[["2019",9,18]]}}},{"id":19,"uris":["http://zotero.org/users/local/3H7XaXC9/items/3ITQJP6Z"],"itemData":{"id":19,"type":"article-journal","abstract":"The global enhancement in the construction of megaprojects during the last few decades has triggered competition in project management. Achieving successful completion of projects is the fundamental need that requires understanding the critical factors that govern the productive accomplishment of tasks within due time and budget, simultaneously maintaining the quality and safety standards. Besides, the cost, time and quality, health&amp; safety and environmental issues, and efficient project use are equally important factors that need special consideration to complete a project successfully. Several projects have demonstrated different barriers, especially in construction projects in the public sector in developing countries, such as Pakistan. Hence, this study investigated the criteria considered by the practitioners for measuring success in the construction project of Pakistan. A questionnaire survey involved 43 construction practitioners identifying the indicators relevant to measuring the success of Pakistani construction projects. The findings obtained through Statistical analysis (SPSS) and MS Excel revealed that the most common success factors of construction projects are the role of government, client capability, and project management. From a significance point of view, the role of government is reported as the most significant success factor. The government requires to exercise strict policy for getting work done successfully.","container-title":"International Journal of Emerging Trends in Engineering Research","DOI":"10.30534/ijeter/2021/049102021","ISSN":"23473983","issue":"10","journalAbbreviation":"IJETER","language":"en","page":"1321-1326","source":"DOI.org (Crossref)","title":"Success Factors Affecting Public Projects of Construction Industry in Pakistan","volume":"9","issued":{"date-parts":[["2021",10,7]]}}},{"id":27,"uris":["http://zotero.org/users/local/3H7XaXC9/items/WCKUMHXV"],"itemData":{"id":27,"type":"article-journal","abstract":"Achieving success in public construction projects is difﬁcult because it requires economy, efﬁciency, quality, fairness and transparency. Such projects are taken up on the requisition of owners/clients and almost always involve multiple entities and are also accountable to external ﬁnancial audit and vigilance agencies. Identiﬁcation of the success factors is considered the key to achieving success in these projects. Through an extensive literature review, 36 success attributes were identiﬁed and a questionnaire-based survey was undertaken to elicit views of professionals on these success attributes. The responses from 105 professionals with an average of 22 years of experience in public construction projects in India were collected and analysed. The factor analysis yielded four success factors: awareness of and compliance with rules and regulations; pre-project planning and clarity in scope; effective partnering among project participants; and external monitoring and control. These four success factors were also used in multivariate linear regression in order to explore their relative signiﬁcance for overall performance, and compliance with anti-corruption and ﬁnancial norms. The most signiﬁcant factor for overall performance is awareness of and compliance with rules and regulations. The results would be helpful to public construction project professionals in taking proactive measures for successful completion of public projects.","container-title":"Construction Management and Economics","DOI":"10.1080/01446193.2011.611152","ISSN":"0144-6193, 1466-433X","issue":"8","journalAbbreviation":"Construction Management and Economics","language":"en","page":"809-823","source":"DOI.org (Crossref)","title":"Identification and evaluation of success factors for public construction projects","volume":"29","author":[{"family":"Tabish","given":"S.Z.S."},{"family":"Jha","given":"Kumar Neeraj"}],"issued":{"date-parts":[["2011",8,1]]}}},{"id":20,"uris":["http://zotero.org/users/local/3H7XaXC9/items/SEUJEPU5"],"itemData":{"id":20,"type":"article-journal","abstract":"Civil infrastructure projects, including roads, bridges, distribution networks, and treatment facilities, need to be executed successfully to actualize the expected return on investment, deliver the planned services, and fulfill national objectives. Hence, this research investigates the critical success factors (CSFs) influencing the performance of infrastructure construction projects using qualitative and quantitative methods. The qualitative methodology comprises a thorough and systematic literature review to identify the CSFs affecting infrastructure project performance. The CSFs were categorized by the construction project phases to</w:instrText>
      </w:r>
      <w:r w:rsidRPr="006D2A92">
        <w:rPr>
          <w:rFonts w:ascii="Times New Roman" w:hAnsi="Times New Roman" w:cs="Times New Roman"/>
        </w:rPr>
        <w:instrText xml:space="preserve"> assess the significance of each phase on project performance. The quantitative technique entails two stages: a pilot study with structured interviews and a questionnaire survey administered to subject matter experts. The data was analyzed using three statistical techniques: one-sample t-test, mean score, and factor analysis. Furthermore, the CSFs were classified into five categories using principal component analysis. According to the findings, the key CSFs of infrastructure projects include the project manager’s competency, commitment, and involvement; sufficient funding throughout the project’s life cycle; and effective communication and coordination among stakeholders. The results will provide construction professionals with valuable insights into the topmost CSFs that contribute to the success of infrastructure construction projects.","container-title":"Innovative Infrastructure Solutions","DOI":"10.1007/s41062-024-01394-9","ISSN":"2364-4176, 2364-4184","issue":"4","journalAbbreviation":"Innov. Infrastruct. Solut.","language":"en","page":"95","source":"DOI.org (Crossref)","title":"Critical success factors of infrastructure construction projects","volume":"9","author":[{"family":"Yamany","given":"Mohamed S."},{"family":"Abdelhameed","given":"Abdelnaser"},{"family":"Elbeltagi","given":"Emad"},{"family":"Mohamed","given":"Hany Abd Elshakour"}],"issued":{"date-parts":[["2024",4]]}}}],"schema":"https://github.com/citation-style-language/schema/raw/master/csl-citation.json"} </w:instrText>
      </w:r>
      <w:r>
        <w:rPr>
          <w:rFonts w:ascii="Times New Roman" w:hAnsi="Times New Roman" w:cs="Times New Roman"/>
          <w:lang w:val="es-MX"/>
        </w:rPr>
        <w:fldChar w:fldCharType="separate"/>
      </w:r>
      <w:r w:rsidRPr="006D2A92">
        <w:rPr>
          <w:rFonts w:ascii="Times New Roman" w:hAnsi="Times New Roman" w:cs="Times New Roman"/>
          <w:kern w:val="0"/>
        </w:rPr>
        <w:t>(A. Alragabah &amp; Ahmed, 2024; Al-Ageeli &amp; Alzobaee, 2016; Al-Juboori et al., 2021; Barajei et al., 2023; Khalid et al., 2013; Mwelu et al., 2021; Sinesilassie et al., 2019; Tabish &amp; Jha, 2011; Yamany et al., 2024; )</w:t>
      </w:r>
      <w:r>
        <w:rPr>
          <w:rFonts w:ascii="Times New Roman" w:hAnsi="Times New Roman" w:cs="Times New Roman"/>
          <w:lang w:val="es-MX"/>
        </w:rPr>
        <w:fldChar w:fldCharType="end"/>
      </w:r>
    </w:p>
    <w:p w14:paraId="23383C55" w14:textId="77777777" w:rsidR="00B24168" w:rsidRPr="006D2A92" w:rsidRDefault="00B24168" w:rsidP="00B24168">
      <w:pPr>
        <w:pStyle w:val="Prrafodelista"/>
        <w:spacing w:line="276" w:lineRule="auto"/>
        <w:rPr>
          <w:rFonts w:ascii="Times New Roman" w:hAnsi="Times New Roman" w:cs="Times New Roman"/>
        </w:rPr>
      </w:pPr>
    </w:p>
    <w:p w14:paraId="5216DE87" w14:textId="555CB2F6" w:rsidR="00B24168" w:rsidRPr="006D2A92" w:rsidRDefault="00B24168" w:rsidP="00B24168">
      <w:pPr>
        <w:pStyle w:val="Prrafodelista"/>
        <w:spacing w:line="276" w:lineRule="auto"/>
        <w:rPr>
          <w:rFonts w:ascii="Times New Roman" w:hAnsi="Times New Roman" w:cs="Times New Roman"/>
        </w:rPr>
      </w:pPr>
      <w:r w:rsidRPr="006D2A92">
        <w:rPr>
          <w:rFonts w:ascii="Times New Roman" w:hAnsi="Times New Roman" w:cs="Times New Roman"/>
        </w:rPr>
        <w:t xml:space="preserve">Lista de </w:t>
      </w:r>
      <w:proofErr w:type="spellStart"/>
      <w:r w:rsidRPr="006D2A92">
        <w:rPr>
          <w:rFonts w:ascii="Times New Roman" w:hAnsi="Times New Roman" w:cs="Times New Roman"/>
        </w:rPr>
        <w:t>referencias</w:t>
      </w:r>
      <w:proofErr w:type="spellEnd"/>
      <w:r w:rsidRPr="006D2A92">
        <w:rPr>
          <w:rFonts w:ascii="Times New Roman" w:hAnsi="Times New Roman" w:cs="Times New Roman"/>
        </w:rPr>
        <w:t xml:space="preserve"> </w:t>
      </w:r>
    </w:p>
    <w:p w14:paraId="38E6A380" w14:textId="77777777" w:rsidR="00B24168" w:rsidRPr="00B24168" w:rsidRDefault="00B24168" w:rsidP="00B24168">
      <w:pPr>
        <w:pStyle w:val="Bibliografa"/>
        <w:rPr>
          <w:rFonts w:ascii="Times New Roman" w:hAnsi="Times New Roman" w:cs="Times New Roman"/>
        </w:rPr>
      </w:pPr>
      <w:r w:rsidRPr="00B24168">
        <w:rPr>
          <w:rFonts w:ascii="Times New Roman" w:hAnsi="Times New Roman" w:cs="Times New Roman"/>
          <w:lang w:val="es-MX"/>
        </w:rPr>
        <w:fldChar w:fldCharType="begin"/>
      </w:r>
      <w:r w:rsidRPr="00B24168">
        <w:rPr>
          <w:rFonts w:ascii="Times New Roman" w:hAnsi="Times New Roman" w:cs="Times New Roman"/>
        </w:rPr>
        <w:instrText xml:space="preserve"> ADDIN ZOTERO_BIBL {"uncited":[],"omitted":[],"custom":[]} CSL_BIBLIOGRAPHY </w:instrText>
      </w:r>
      <w:r w:rsidRPr="00B24168">
        <w:rPr>
          <w:rFonts w:ascii="Times New Roman" w:hAnsi="Times New Roman" w:cs="Times New Roman"/>
          <w:lang w:val="es-MX"/>
        </w:rPr>
        <w:fldChar w:fldCharType="separate"/>
      </w:r>
      <w:r w:rsidRPr="00B24168">
        <w:rPr>
          <w:rFonts w:ascii="Times New Roman" w:hAnsi="Times New Roman" w:cs="Times New Roman"/>
        </w:rPr>
        <w:t xml:space="preserve">A. Alragabah, Y., &amp; Ahmed, Mohd. (2024). Impact assessment of critical success factors (CSFs) in public construction projects of Saudi Arabia. </w:t>
      </w:r>
      <w:r w:rsidRPr="00B24168">
        <w:rPr>
          <w:rFonts w:ascii="Times New Roman" w:hAnsi="Times New Roman" w:cs="Times New Roman"/>
          <w:i/>
          <w:iCs/>
        </w:rPr>
        <w:t>Frontiers in Engineering and Built Environment</w:t>
      </w:r>
      <w:r w:rsidRPr="00B24168">
        <w:rPr>
          <w:rFonts w:ascii="Times New Roman" w:hAnsi="Times New Roman" w:cs="Times New Roman"/>
        </w:rPr>
        <w:t xml:space="preserve">, </w:t>
      </w:r>
      <w:r w:rsidRPr="00B24168">
        <w:rPr>
          <w:rFonts w:ascii="Times New Roman" w:hAnsi="Times New Roman" w:cs="Times New Roman"/>
          <w:i/>
          <w:iCs/>
        </w:rPr>
        <w:t>4</w:t>
      </w:r>
      <w:r w:rsidRPr="00B24168">
        <w:rPr>
          <w:rFonts w:ascii="Times New Roman" w:hAnsi="Times New Roman" w:cs="Times New Roman"/>
        </w:rPr>
        <w:t>, 115. https://doi.org/10.1108/FEBE-10-2023-0048</w:t>
      </w:r>
    </w:p>
    <w:p w14:paraId="031B3813" w14:textId="77777777" w:rsidR="00B24168" w:rsidRPr="00B24168" w:rsidRDefault="00B24168" w:rsidP="00B24168">
      <w:pPr>
        <w:pStyle w:val="Bibliografa"/>
        <w:rPr>
          <w:rFonts w:ascii="Times New Roman" w:hAnsi="Times New Roman" w:cs="Times New Roman"/>
        </w:rPr>
      </w:pPr>
      <w:r w:rsidRPr="006D2A92">
        <w:rPr>
          <w:rFonts w:ascii="Times New Roman" w:hAnsi="Times New Roman" w:cs="Times New Roman"/>
        </w:rPr>
        <w:t xml:space="preserve">Al-Ageeli, H. K., &amp; Alzobaee, A. S. J. A. (2016). </w:t>
      </w:r>
      <w:r w:rsidRPr="00B24168">
        <w:rPr>
          <w:rFonts w:ascii="Times New Roman" w:hAnsi="Times New Roman" w:cs="Times New Roman"/>
        </w:rPr>
        <w:t xml:space="preserve">Critical Success Factors in Construction Projects (Governmental Projects as a Case Study). </w:t>
      </w:r>
      <w:r w:rsidRPr="00B24168">
        <w:rPr>
          <w:rFonts w:ascii="Times New Roman" w:hAnsi="Times New Roman" w:cs="Times New Roman"/>
          <w:i/>
          <w:iCs/>
        </w:rPr>
        <w:t>Journal of Engineering</w:t>
      </w:r>
      <w:r w:rsidRPr="00B24168">
        <w:rPr>
          <w:rFonts w:ascii="Times New Roman" w:hAnsi="Times New Roman" w:cs="Times New Roman"/>
        </w:rPr>
        <w:t xml:space="preserve">, </w:t>
      </w:r>
      <w:r w:rsidRPr="00B24168">
        <w:rPr>
          <w:rFonts w:ascii="Times New Roman" w:hAnsi="Times New Roman" w:cs="Times New Roman"/>
          <w:i/>
          <w:iCs/>
        </w:rPr>
        <w:t>22</w:t>
      </w:r>
      <w:r w:rsidRPr="00B24168">
        <w:rPr>
          <w:rFonts w:ascii="Times New Roman" w:hAnsi="Times New Roman" w:cs="Times New Roman"/>
        </w:rPr>
        <w:t>(3), 129-147. https://doi.org/10.31026/j.eng.2016.03.09</w:t>
      </w:r>
    </w:p>
    <w:p w14:paraId="4642EAD2" w14:textId="77777777" w:rsidR="00B24168" w:rsidRPr="00B24168" w:rsidRDefault="00B24168" w:rsidP="00B24168">
      <w:pPr>
        <w:pStyle w:val="Bibliografa"/>
        <w:rPr>
          <w:rFonts w:ascii="Times New Roman" w:hAnsi="Times New Roman" w:cs="Times New Roman"/>
        </w:rPr>
      </w:pPr>
      <w:r w:rsidRPr="00B24168">
        <w:rPr>
          <w:rFonts w:ascii="Times New Roman" w:hAnsi="Times New Roman" w:cs="Times New Roman"/>
        </w:rPr>
        <w:t xml:space="preserve">Al-Juboori, O. A., Rashid, H. A., &amp; Mahjoob, A. M. R. (2021). Investigating the Critical Success Factors for Water Supply Projects: Case of Iraq. </w:t>
      </w:r>
      <w:r w:rsidRPr="00B24168">
        <w:rPr>
          <w:rFonts w:ascii="Times New Roman" w:hAnsi="Times New Roman" w:cs="Times New Roman"/>
          <w:i/>
          <w:iCs/>
        </w:rPr>
        <w:t>Civil and Environmental Engineering</w:t>
      </w:r>
      <w:r w:rsidRPr="00B24168">
        <w:rPr>
          <w:rFonts w:ascii="Times New Roman" w:hAnsi="Times New Roman" w:cs="Times New Roman"/>
        </w:rPr>
        <w:t xml:space="preserve">, </w:t>
      </w:r>
      <w:r w:rsidRPr="00B24168">
        <w:rPr>
          <w:rFonts w:ascii="Times New Roman" w:hAnsi="Times New Roman" w:cs="Times New Roman"/>
          <w:i/>
          <w:iCs/>
        </w:rPr>
        <w:t>17</w:t>
      </w:r>
      <w:r w:rsidRPr="00B24168">
        <w:rPr>
          <w:rFonts w:ascii="Times New Roman" w:hAnsi="Times New Roman" w:cs="Times New Roman"/>
        </w:rPr>
        <w:t>(2), 438-449. https://doi.org/10.2478/cee-2021-0046</w:t>
      </w:r>
    </w:p>
    <w:p w14:paraId="103763CB" w14:textId="77777777" w:rsidR="00B24168" w:rsidRPr="00B24168" w:rsidRDefault="00B24168" w:rsidP="00B24168">
      <w:pPr>
        <w:pStyle w:val="Bibliografa"/>
        <w:rPr>
          <w:rFonts w:ascii="Times New Roman" w:hAnsi="Times New Roman" w:cs="Times New Roman"/>
        </w:rPr>
      </w:pPr>
      <w:r w:rsidRPr="00B24168">
        <w:rPr>
          <w:rFonts w:ascii="Times New Roman" w:hAnsi="Times New Roman" w:cs="Times New Roman"/>
        </w:rPr>
        <w:t xml:space="preserve">Barajei, C., Kheni, N. A., Appiah-Kubi, E., Danso, H., &amp; Iddrisu, A. W. (2023). Enhancing the success of Ghanaian public road construction projects. </w:t>
      </w:r>
      <w:r w:rsidRPr="00B24168">
        <w:rPr>
          <w:rFonts w:ascii="Times New Roman" w:hAnsi="Times New Roman" w:cs="Times New Roman"/>
          <w:i/>
          <w:iCs/>
        </w:rPr>
        <w:t>Cogent Engineering</w:t>
      </w:r>
      <w:r w:rsidRPr="00B24168">
        <w:rPr>
          <w:rFonts w:ascii="Times New Roman" w:hAnsi="Times New Roman" w:cs="Times New Roman"/>
        </w:rPr>
        <w:t xml:space="preserve">, </w:t>
      </w:r>
      <w:r w:rsidRPr="00B24168">
        <w:rPr>
          <w:rFonts w:ascii="Times New Roman" w:hAnsi="Times New Roman" w:cs="Times New Roman"/>
          <w:i/>
          <w:iCs/>
        </w:rPr>
        <w:t>10</w:t>
      </w:r>
      <w:r w:rsidRPr="00B24168">
        <w:rPr>
          <w:rFonts w:ascii="Times New Roman" w:hAnsi="Times New Roman" w:cs="Times New Roman"/>
        </w:rPr>
        <w:t>(1), 2199514. https://doi.org/10.1080/23311916.2023.2199514</w:t>
      </w:r>
    </w:p>
    <w:p w14:paraId="37FC23A3" w14:textId="77777777" w:rsidR="00B24168" w:rsidRPr="00B24168" w:rsidRDefault="00B24168" w:rsidP="00B24168">
      <w:pPr>
        <w:pStyle w:val="Bibliografa"/>
        <w:rPr>
          <w:rFonts w:ascii="Times New Roman" w:hAnsi="Times New Roman" w:cs="Times New Roman"/>
        </w:rPr>
      </w:pPr>
      <w:r w:rsidRPr="00B24168">
        <w:rPr>
          <w:rFonts w:ascii="Times New Roman" w:hAnsi="Times New Roman" w:cs="Times New Roman"/>
        </w:rPr>
        <w:t xml:space="preserve">Khalid, A., Khan, Turner, R., &amp; Tayyab. (2013). </w:t>
      </w:r>
      <w:r w:rsidRPr="00B24168">
        <w:rPr>
          <w:rFonts w:ascii="Times New Roman" w:hAnsi="Times New Roman" w:cs="Times New Roman"/>
          <w:i/>
          <w:iCs/>
        </w:rPr>
        <w:t>Factors that influence the success of public sector projects in Pakistan</w:t>
      </w:r>
      <w:r w:rsidRPr="00B24168">
        <w:rPr>
          <w:rFonts w:ascii="Times New Roman" w:hAnsi="Times New Roman" w:cs="Times New Roman"/>
        </w:rPr>
        <w:t>. https://doi.org/10.13140/2.1.4832.9605</w:t>
      </w:r>
    </w:p>
    <w:p w14:paraId="5EEFE33A" w14:textId="77777777" w:rsidR="00B24168" w:rsidRPr="00B24168" w:rsidRDefault="00B24168" w:rsidP="00B24168">
      <w:pPr>
        <w:pStyle w:val="Bibliografa"/>
        <w:rPr>
          <w:rFonts w:ascii="Times New Roman" w:hAnsi="Times New Roman" w:cs="Times New Roman"/>
        </w:rPr>
      </w:pPr>
      <w:r w:rsidRPr="00B24168">
        <w:rPr>
          <w:rFonts w:ascii="Times New Roman" w:hAnsi="Times New Roman" w:cs="Times New Roman"/>
        </w:rPr>
        <w:t xml:space="preserve">Mwelu, N., Davis, P. R., Ke, Y., Watundu, S., &amp; Jefferies, M. (2021). Success factors for implementing Uganda’s public road construction projects. </w:t>
      </w:r>
      <w:r w:rsidRPr="00B24168">
        <w:rPr>
          <w:rFonts w:ascii="Times New Roman" w:hAnsi="Times New Roman" w:cs="Times New Roman"/>
          <w:i/>
          <w:iCs/>
        </w:rPr>
        <w:t>International Journal of Construction Management</w:t>
      </w:r>
      <w:r w:rsidRPr="00B24168">
        <w:rPr>
          <w:rFonts w:ascii="Times New Roman" w:hAnsi="Times New Roman" w:cs="Times New Roman"/>
        </w:rPr>
        <w:t xml:space="preserve">, </w:t>
      </w:r>
      <w:r w:rsidRPr="00B24168">
        <w:rPr>
          <w:rFonts w:ascii="Times New Roman" w:hAnsi="Times New Roman" w:cs="Times New Roman"/>
          <w:i/>
          <w:iCs/>
        </w:rPr>
        <w:t>21</w:t>
      </w:r>
      <w:r w:rsidRPr="00B24168">
        <w:rPr>
          <w:rFonts w:ascii="Times New Roman" w:hAnsi="Times New Roman" w:cs="Times New Roman"/>
        </w:rPr>
        <w:t>(6), 598-614. https://doi.org/10.1080/15623599.2019.1573481</w:t>
      </w:r>
    </w:p>
    <w:p w14:paraId="2ACD4703" w14:textId="11655B2E" w:rsidR="00B24168" w:rsidRPr="00B24168" w:rsidRDefault="00B24168" w:rsidP="005424DE">
      <w:pPr>
        <w:pStyle w:val="Bibliografa"/>
        <w:rPr>
          <w:rFonts w:ascii="Times New Roman" w:hAnsi="Times New Roman" w:cs="Times New Roman"/>
        </w:rPr>
      </w:pPr>
      <w:r w:rsidRPr="00B24168">
        <w:rPr>
          <w:rFonts w:ascii="Times New Roman" w:hAnsi="Times New Roman" w:cs="Times New Roman"/>
        </w:rPr>
        <w:lastRenderedPageBreak/>
        <w:t xml:space="preserve">Sinesilassie, E. G., Tripathi, K. K., Tabish, S. Z. S., &amp; Jha, K. N. (2019). Modeling success factors for public construction projects with the SEM approach: Engineer’s perspective. </w:t>
      </w:r>
      <w:r w:rsidRPr="00B24168">
        <w:rPr>
          <w:rFonts w:ascii="Times New Roman" w:hAnsi="Times New Roman" w:cs="Times New Roman"/>
          <w:i/>
          <w:iCs/>
        </w:rPr>
        <w:t>Engineering, Construction and Architectural Management</w:t>
      </w:r>
      <w:r w:rsidRPr="00B24168">
        <w:rPr>
          <w:rFonts w:ascii="Times New Roman" w:hAnsi="Times New Roman" w:cs="Times New Roman"/>
        </w:rPr>
        <w:t xml:space="preserve">, </w:t>
      </w:r>
      <w:r w:rsidRPr="00B24168">
        <w:rPr>
          <w:rFonts w:ascii="Times New Roman" w:hAnsi="Times New Roman" w:cs="Times New Roman"/>
          <w:i/>
          <w:iCs/>
        </w:rPr>
        <w:t>26</w:t>
      </w:r>
      <w:r w:rsidRPr="00B24168">
        <w:rPr>
          <w:rFonts w:ascii="Times New Roman" w:hAnsi="Times New Roman" w:cs="Times New Roman"/>
        </w:rPr>
        <w:t>(10), 2410-2431. https://doi.org/10.1108/ECAM-04-2018-0162</w:t>
      </w:r>
    </w:p>
    <w:p w14:paraId="2029F949" w14:textId="77777777" w:rsidR="00B24168" w:rsidRPr="00B24168" w:rsidRDefault="00B24168" w:rsidP="00B24168">
      <w:pPr>
        <w:pStyle w:val="Bibliografa"/>
        <w:rPr>
          <w:rFonts w:ascii="Times New Roman" w:hAnsi="Times New Roman" w:cs="Times New Roman"/>
        </w:rPr>
      </w:pPr>
      <w:r w:rsidRPr="00B24168">
        <w:rPr>
          <w:rFonts w:ascii="Times New Roman" w:hAnsi="Times New Roman" w:cs="Times New Roman"/>
        </w:rPr>
        <w:t xml:space="preserve">Tabish, S. Z. S., &amp; Jha, K. N. (2011). Identification and evaluation of success factors for public construction projects. </w:t>
      </w:r>
      <w:r w:rsidRPr="00B24168">
        <w:rPr>
          <w:rFonts w:ascii="Times New Roman" w:hAnsi="Times New Roman" w:cs="Times New Roman"/>
          <w:i/>
          <w:iCs/>
        </w:rPr>
        <w:t>Construction Management and Economics</w:t>
      </w:r>
      <w:r w:rsidRPr="00B24168">
        <w:rPr>
          <w:rFonts w:ascii="Times New Roman" w:hAnsi="Times New Roman" w:cs="Times New Roman"/>
        </w:rPr>
        <w:t xml:space="preserve">, </w:t>
      </w:r>
      <w:r w:rsidRPr="00B24168">
        <w:rPr>
          <w:rFonts w:ascii="Times New Roman" w:hAnsi="Times New Roman" w:cs="Times New Roman"/>
          <w:i/>
          <w:iCs/>
        </w:rPr>
        <w:t>29</w:t>
      </w:r>
      <w:r w:rsidRPr="00B24168">
        <w:rPr>
          <w:rFonts w:ascii="Times New Roman" w:hAnsi="Times New Roman" w:cs="Times New Roman"/>
        </w:rPr>
        <w:t>(8), 809-823. https://doi.org/10.1080/01446193.2011.611152</w:t>
      </w:r>
    </w:p>
    <w:p w14:paraId="054D2C08" w14:textId="77777777" w:rsidR="00B24168" w:rsidRPr="00B24168" w:rsidRDefault="00B24168" w:rsidP="00B24168">
      <w:pPr>
        <w:pStyle w:val="Bibliografa"/>
        <w:rPr>
          <w:rFonts w:ascii="Times New Roman" w:hAnsi="Times New Roman" w:cs="Times New Roman"/>
        </w:rPr>
      </w:pPr>
      <w:r w:rsidRPr="00B24168">
        <w:rPr>
          <w:rFonts w:ascii="Times New Roman" w:hAnsi="Times New Roman" w:cs="Times New Roman"/>
        </w:rPr>
        <w:t xml:space="preserve">Yamany, M. S., Abdelhameed, A., Elbeltagi, E., &amp; Mohamed, H. A. E. (2024). Critical success factors of infrastructure construction projects. </w:t>
      </w:r>
      <w:r w:rsidRPr="00B24168">
        <w:rPr>
          <w:rFonts w:ascii="Times New Roman" w:hAnsi="Times New Roman" w:cs="Times New Roman"/>
          <w:i/>
          <w:iCs/>
        </w:rPr>
        <w:t>Innovative Infrastructure Solutions</w:t>
      </w:r>
      <w:r w:rsidRPr="00B24168">
        <w:rPr>
          <w:rFonts w:ascii="Times New Roman" w:hAnsi="Times New Roman" w:cs="Times New Roman"/>
        </w:rPr>
        <w:t xml:space="preserve">, </w:t>
      </w:r>
      <w:r w:rsidRPr="00B24168">
        <w:rPr>
          <w:rFonts w:ascii="Times New Roman" w:hAnsi="Times New Roman" w:cs="Times New Roman"/>
          <w:i/>
          <w:iCs/>
        </w:rPr>
        <w:t>9</w:t>
      </w:r>
      <w:r w:rsidRPr="00B24168">
        <w:rPr>
          <w:rFonts w:ascii="Times New Roman" w:hAnsi="Times New Roman" w:cs="Times New Roman"/>
        </w:rPr>
        <w:t>(4), 95. https://doi.org/10.1007/s41062-024-01394-9</w:t>
      </w:r>
    </w:p>
    <w:p w14:paraId="2D804BF9" w14:textId="77777777" w:rsidR="005424DE" w:rsidRPr="006D4ED4" w:rsidRDefault="00B24168" w:rsidP="009369FB">
      <w:pPr>
        <w:spacing w:line="276" w:lineRule="auto"/>
        <w:rPr>
          <w:rFonts w:ascii="Times New Roman" w:hAnsi="Times New Roman" w:cs="Times New Roman"/>
        </w:rPr>
      </w:pPr>
      <w:r w:rsidRPr="00B24168">
        <w:rPr>
          <w:rFonts w:ascii="Times New Roman" w:hAnsi="Times New Roman" w:cs="Times New Roman"/>
          <w:lang w:val="es-MX"/>
        </w:rPr>
        <w:fldChar w:fldCharType="end"/>
      </w:r>
      <w:r w:rsidR="005424DE" w:rsidRPr="006D4ED4">
        <w:rPr>
          <w:rFonts w:ascii="Times New Roman" w:hAnsi="Times New Roman" w:cs="Times New Roman"/>
        </w:rPr>
        <w:t xml:space="preserve"> </w:t>
      </w:r>
    </w:p>
    <w:p w14:paraId="5ABD3B3A" w14:textId="79B4F0A1" w:rsidR="009369FB" w:rsidRPr="005424DE" w:rsidRDefault="005424DE" w:rsidP="009369FB">
      <w:pPr>
        <w:spacing w:line="276" w:lineRule="auto"/>
        <w:rPr>
          <w:rFonts w:ascii="Times New Roman" w:hAnsi="Times New Roman" w:cs="Times New Roman"/>
          <w:b/>
          <w:bCs/>
          <w:lang w:val="es-MX"/>
        </w:rPr>
      </w:pPr>
      <w:r w:rsidRPr="005424DE">
        <w:rPr>
          <w:rFonts w:ascii="Times New Roman" w:hAnsi="Times New Roman" w:cs="Times New Roman"/>
          <w:b/>
          <w:bCs/>
          <w:lang w:val="es-MX"/>
        </w:rPr>
        <w:t>Las principales preguntas que le hice a NotebookLM fueron:</w:t>
      </w:r>
    </w:p>
    <w:p w14:paraId="19A4DF5D" w14:textId="24E45BC0" w:rsidR="00225B5E" w:rsidRPr="006D4ED4" w:rsidRDefault="005424DE" w:rsidP="006D4ED4">
      <w:pPr>
        <w:pStyle w:val="Prrafodelista"/>
        <w:numPr>
          <w:ilvl w:val="0"/>
          <w:numId w:val="4"/>
        </w:numPr>
        <w:spacing w:line="276" w:lineRule="auto"/>
        <w:rPr>
          <w:rFonts w:ascii="Times New Roman" w:hAnsi="Times New Roman" w:cs="Times New Roman"/>
          <w:lang w:val="es-MX"/>
        </w:rPr>
      </w:pPr>
      <w:r w:rsidRPr="006D4ED4">
        <w:rPr>
          <w:rFonts w:ascii="Times New Roman" w:hAnsi="Times New Roman" w:cs="Times New Roman"/>
          <w:lang w:val="es-MX"/>
        </w:rPr>
        <w:t>¿Cuáles son los factores críticos para el éxito en proyectos públicos?</w:t>
      </w:r>
    </w:p>
    <w:p w14:paraId="271A06D6" w14:textId="28DEBCA7" w:rsidR="00225B5E" w:rsidRDefault="006D4ED4" w:rsidP="009369FB">
      <w:pPr>
        <w:spacing w:line="276" w:lineRule="auto"/>
        <w:rPr>
          <w:rFonts w:ascii="Times New Roman" w:hAnsi="Times New Roman" w:cs="Times New Roman"/>
          <w:lang w:val="es-MX"/>
        </w:rPr>
      </w:pPr>
      <w:r w:rsidRPr="006D4ED4">
        <w:rPr>
          <w:rFonts w:ascii="Times New Roman" w:hAnsi="Times New Roman" w:cs="Times New Roman"/>
          <w:noProof/>
          <w:lang w:val="es-MX"/>
        </w:rPr>
        <w:drawing>
          <wp:inline distT="0" distB="0" distL="0" distR="0" wp14:anchorId="03F81B21" wp14:editId="707BFF0F">
            <wp:extent cx="5943600" cy="2659380"/>
            <wp:effectExtent l="0" t="0" r="0" b="7620"/>
            <wp:docPr id="908063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63312" name=""/>
                    <pic:cNvPicPr/>
                  </pic:nvPicPr>
                  <pic:blipFill>
                    <a:blip r:embed="rId9"/>
                    <a:stretch>
                      <a:fillRect/>
                    </a:stretch>
                  </pic:blipFill>
                  <pic:spPr>
                    <a:xfrm>
                      <a:off x="0" y="0"/>
                      <a:ext cx="5943600" cy="2659380"/>
                    </a:xfrm>
                    <a:prstGeom prst="rect">
                      <a:avLst/>
                    </a:prstGeom>
                  </pic:spPr>
                </pic:pic>
              </a:graphicData>
            </a:graphic>
          </wp:inline>
        </w:drawing>
      </w:r>
    </w:p>
    <w:p w14:paraId="3F0881FB" w14:textId="77777777" w:rsidR="006D4ED4" w:rsidRDefault="006D4ED4" w:rsidP="009369FB">
      <w:pPr>
        <w:spacing w:line="276" w:lineRule="auto"/>
        <w:rPr>
          <w:rFonts w:ascii="Times New Roman" w:hAnsi="Times New Roman" w:cs="Times New Roman"/>
          <w:lang w:val="es-MX"/>
        </w:rPr>
      </w:pPr>
    </w:p>
    <w:p w14:paraId="7BCC74CF" w14:textId="77777777" w:rsidR="006D4ED4" w:rsidRDefault="006D4ED4" w:rsidP="009369FB">
      <w:pPr>
        <w:spacing w:line="276" w:lineRule="auto"/>
        <w:rPr>
          <w:rFonts w:ascii="Times New Roman" w:hAnsi="Times New Roman" w:cs="Times New Roman"/>
          <w:lang w:val="es-MX"/>
        </w:rPr>
      </w:pPr>
    </w:p>
    <w:p w14:paraId="32681896" w14:textId="77777777" w:rsidR="006D4ED4" w:rsidRDefault="006D4ED4" w:rsidP="009369FB">
      <w:pPr>
        <w:spacing w:line="276" w:lineRule="auto"/>
        <w:rPr>
          <w:rFonts w:ascii="Times New Roman" w:hAnsi="Times New Roman" w:cs="Times New Roman"/>
          <w:lang w:val="es-MX"/>
        </w:rPr>
      </w:pPr>
    </w:p>
    <w:p w14:paraId="07E00A11" w14:textId="627ABE35" w:rsidR="00225B5E" w:rsidRPr="006D4ED4" w:rsidRDefault="006D4ED4" w:rsidP="006D4ED4">
      <w:pPr>
        <w:pStyle w:val="Prrafodelista"/>
        <w:numPr>
          <w:ilvl w:val="0"/>
          <w:numId w:val="4"/>
        </w:numPr>
        <w:spacing w:line="276" w:lineRule="auto"/>
        <w:rPr>
          <w:rFonts w:ascii="Times New Roman" w:hAnsi="Times New Roman" w:cs="Times New Roman"/>
          <w:lang w:val="es-MX"/>
        </w:rPr>
      </w:pPr>
      <w:r w:rsidRPr="006D4ED4">
        <w:rPr>
          <w:rFonts w:ascii="Times New Roman" w:hAnsi="Times New Roman" w:cs="Times New Roman"/>
          <w:lang w:val="es-MX"/>
        </w:rPr>
        <w:lastRenderedPageBreak/>
        <w:t>¿Cuáles son los criterios de éxito para proyectos de infraestructura públicos?</w:t>
      </w:r>
    </w:p>
    <w:p w14:paraId="1F1F549C" w14:textId="41BC4711" w:rsidR="009369FB" w:rsidRDefault="006D4ED4" w:rsidP="009369FB">
      <w:pPr>
        <w:spacing w:line="276" w:lineRule="auto"/>
        <w:rPr>
          <w:rFonts w:ascii="Times New Roman" w:hAnsi="Times New Roman" w:cs="Times New Roman"/>
          <w:lang w:val="es-MX"/>
        </w:rPr>
      </w:pPr>
      <w:r w:rsidRPr="006D4ED4">
        <w:rPr>
          <w:rFonts w:ascii="Times New Roman" w:hAnsi="Times New Roman" w:cs="Times New Roman"/>
          <w:noProof/>
          <w:lang w:val="es-MX"/>
        </w:rPr>
        <w:drawing>
          <wp:inline distT="0" distB="0" distL="0" distR="0" wp14:anchorId="6EFF2270" wp14:editId="094D284E">
            <wp:extent cx="6067514" cy="2721306"/>
            <wp:effectExtent l="0" t="0" r="0" b="3175"/>
            <wp:docPr id="207666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6849" name=""/>
                    <pic:cNvPicPr/>
                  </pic:nvPicPr>
                  <pic:blipFill>
                    <a:blip r:embed="rId10"/>
                    <a:stretch>
                      <a:fillRect/>
                    </a:stretch>
                  </pic:blipFill>
                  <pic:spPr>
                    <a:xfrm>
                      <a:off x="0" y="0"/>
                      <a:ext cx="6070491" cy="2722641"/>
                    </a:xfrm>
                    <a:prstGeom prst="rect">
                      <a:avLst/>
                    </a:prstGeom>
                  </pic:spPr>
                </pic:pic>
              </a:graphicData>
            </a:graphic>
          </wp:inline>
        </w:drawing>
      </w:r>
    </w:p>
    <w:p w14:paraId="57C44E67" w14:textId="77777777" w:rsidR="004B1B3B" w:rsidRPr="005424DE" w:rsidRDefault="004B1B3B" w:rsidP="009369FB">
      <w:pPr>
        <w:spacing w:line="276" w:lineRule="auto"/>
        <w:rPr>
          <w:rFonts w:ascii="Times New Roman" w:hAnsi="Times New Roman" w:cs="Times New Roman"/>
          <w:lang w:val="es-MX"/>
        </w:rPr>
      </w:pPr>
    </w:p>
    <w:p w14:paraId="5033F3F9" w14:textId="330C7491" w:rsidR="006D4ED4" w:rsidRDefault="004B1B3B" w:rsidP="004B1B3B">
      <w:pPr>
        <w:pStyle w:val="Prrafodelista"/>
        <w:numPr>
          <w:ilvl w:val="0"/>
          <w:numId w:val="4"/>
        </w:numPr>
        <w:spacing w:line="276" w:lineRule="auto"/>
        <w:rPr>
          <w:rFonts w:ascii="Times New Roman" w:hAnsi="Times New Roman" w:cs="Times New Roman"/>
          <w:lang w:val="es-MX"/>
        </w:rPr>
      </w:pPr>
      <w:r>
        <w:rPr>
          <w:rFonts w:ascii="Times New Roman" w:hAnsi="Times New Roman" w:cs="Times New Roman"/>
          <w:lang w:val="es-MX"/>
        </w:rPr>
        <w:t>¿Qué metodología es la más utilizada según las fuentes proporcionadas?</w:t>
      </w:r>
    </w:p>
    <w:p w14:paraId="55EB5CE6" w14:textId="77777777" w:rsidR="004B1B3B" w:rsidRPr="004B1B3B" w:rsidRDefault="004B1B3B" w:rsidP="004B1B3B">
      <w:pPr>
        <w:pStyle w:val="Prrafodelista"/>
        <w:spacing w:line="276" w:lineRule="auto"/>
        <w:rPr>
          <w:rFonts w:ascii="Times New Roman" w:hAnsi="Times New Roman" w:cs="Times New Roman"/>
          <w:lang w:val="es-MX"/>
        </w:rPr>
      </w:pPr>
    </w:p>
    <w:p w14:paraId="10E069B6" w14:textId="08E43AD2" w:rsidR="006D4ED4" w:rsidRDefault="004B1B3B" w:rsidP="0054436C">
      <w:pPr>
        <w:spacing w:line="276" w:lineRule="auto"/>
        <w:rPr>
          <w:rFonts w:ascii="Times New Roman" w:hAnsi="Times New Roman" w:cs="Times New Roman"/>
          <w:lang w:val="es-MX"/>
        </w:rPr>
      </w:pPr>
      <w:r w:rsidRPr="004B1B3B">
        <w:rPr>
          <w:rFonts w:ascii="Times New Roman" w:hAnsi="Times New Roman" w:cs="Times New Roman"/>
          <w:noProof/>
          <w:lang w:val="es-MX"/>
        </w:rPr>
        <w:drawing>
          <wp:inline distT="0" distB="0" distL="0" distR="0" wp14:anchorId="36B146AF" wp14:editId="0F8F2D54">
            <wp:extent cx="5943600" cy="2747645"/>
            <wp:effectExtent l="0" t="0" r="0" b="0"/>
            <wp:docPr id="1468749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49205" name=""/>
                    <pic:cNvPicPr/>
                  </pic:nvPicPr>
                  <pic:blipFill>
                    <a:blip r:embed="rId11"/>
                    <a:stretch>
                      <a:fillRect/>
                    </a:stretch>
                  </pic:blipFill>
                  <pic:spPr>
                    <a:xfrm>
                      <a:off x="0" y="0"/>
                      <a:ext cx="5943600" cy="2747645"/>
                    </a:xfrm>
                    <a:prstGeom prst="rect">
                      <a:avLst/>
                    </a:prstGeom>
                  </pic:spPr>
                </pic:pic>
              </a:graphicData>
            </a:graphic>
          </wp:inline>
        </w:drawing>
      </w:r>
    </w:p>
    <w:p w14:paraId="2FA9589D" w14:textId="77777777" w:rsidR="006D4ED4" w:rsidRDefault="006D4ED4" w:rsidP="0054436C">
      <w:pPr>
        <w:spacing w:line="276" w:lineRule="auto"/>
        <w:rPr>
          <w:rFonts w:ascii="Times New Roman" w:hAnsi="Times New Roman" w:cs="Times New Roman"/>
          <w:lang w:val="es-MX"/>
        </w:rPr>
      </w:pPr>
    </w:p>
    <w:p w14:paraId="348C587C" w14:textId="77777777" w:rsidR="004B1B3B" w:rsidRDefault="004B1B3B" w:rsidP="0054436C">
      <w:pPr>
        <w:spacing w:line="276" w:lineRule="auto"/>
        <w:rPr>
          <w:rFonts w:ascii="Times New Roman" w:hAnsi="Times New Roman" w:cs="Times New Roman"/>
          <w:lang w:val="es-MX"/>
        </w:rPr>
      </w:pPr>
    </w:p>
    <w:p w14:paraId="23301815" w14:textId="77777777" w:rsidR="004B1B3B" w:rsidRDefault="004B1B3B" w:rsidP="0054436C">
      <w:pPr>
        <w:spacing w:line="276" w:lineRule="auto"/>
        <w:rPr>
          <w:rFonts w:ascii="Times New Roman" w:hAnsi="Times New Roman" w:cs="Times New Roman"/>
          <w:lang w:val="es-MX"/>
        </w:rPr>
      </w:pPr>
    </w:p>
    <w:p w14:paraId="57DAB401" w14:textId="77777777" w:rsidR="004B1B3B" w:rsidRDefault="004B1B3B" w:rsidP="0054436C">
      <w:pPr>
        <w:spacing w:line="276" w:lineRule="auto"/>
        <w:rPr>
          <w:rFonts w:ascii="Times New Roman" w:hAnsi="Times New Roman" w:cs="Times New Roman"/>
          <w:lang w:val="es-MX"/>
        </w:rPr>
      </w:pPr>
    </w:p>
    <w:p w14:paraId="72ED5096" w14:textId="77777777" w:rsidR="006D4ED4" w:rsidRDefault="006D4ED4" w:rsidP="0054436C">
      <w:pPr>
        <w:spacing w:line="276" w:lineRule="auto"/>
        <w:rPr>
          <w:rFonts w:ascii="Times New Roman" w:hAnsi="Times New Roman" w:cs="Times New Roman"/>
          <w:lang w:val="es-MX"/>
        </w:rPr>
      </w:pPr>
    </w:p>
    <w:p w14:paraId="1D755D7E" w14:textId="002F35B4" w:rsidR="004B1B3B" w:rsidRDefault="004B1B3B" w:rsidP="0054436C">
      <w:pPr>
        <w:spacing w:line="276" w:lineRule="auto"/>
        <w:rPr>
          <w:rFonts w:ascii="Times New Roman" w:hAnsi="Times New Roman" w:cs="Times New Roman"/>
          <w:b/>
          <w:bCs/>
          <w:lang w:val="es-MX"/>
        </w:rPr>
      </w:pPr>
      <w:r w:rsidRPr="004B1B3B">
        <w:rPr>
          <w:rFonts w:ascii="Times New Roman" w:hAnsi="Times New Roman" w:cs="Times New Roman"/>
          <w:b/>
          <w:bCs/>
          <w:lang w:val="es-MX"/>
        </w:rPr>
        <w:lastRenderedPageBreak/>
        <w:t>Los prompts principales que usé para escribir el texto fueron:</w:t>
      </w:r>
    </w:p>
    <w:p w14:paraId="628DDB58" w14:textId="41CA1A48" w:rsidR="008343E7" w:rsidRPr="008343E7" w:rsidRDefault="008343E7" w:rsidP="0054436C">
      <w:pPr>
        <w:spacing w:line="276" w:lineRule="auto"/>
        <w:rPr>
          <w:rFonts w:ascii="Times New Roman" w:hAnsi="Times New Roman" w:cs="Times New Roman"/>
          <w:lang w:val="es-MX"/>
        </w:rPr>
      </w:pPr>
      <w:r w:rsidRPr="008343E7">
        <w:rPr>
          <w:rFonts w:ascii="Times New Roman" w:hAnsi="Times New Roman" w:cs="Times New Roman"/>
          <w:lang w:val="es-MX"/>
        </w:rPr>
        <w:t xml:space="preserve">Para escribir el texto utilice </w:t>
      </w:r>
      <w:r w:rsidRPr="008343E7">
        <w:rPr>
          <w:rFonts w:ascii="Times New Roman" w:hAnsi="Times New Roman" w:cs="Times New Roman"/>
          <w:b/>
          <w:bCs/>
          <w:lang w:val="es-MX"/>
        </w:rPr>
        <w:t>Gemini</w:t>
      </w:r>
      <w:r>
        <w:rPr>
          <w:rFonts w:ascii="Times New Roman" w:hAnsi="Times New Roman" w:cs="Times New Roman"/>
          <w:b/>
          <w:bCs/>
          <w:lang w:val="es-MX"/>
        </w:rPr>
        <w:t xml:space="preserve">, </w:t>
      </w:r>
      <w:r>
        <w:rPr>
          <w:rFonts w:ascii="Times New Roman" w:hAnsi="Times New Roman" w:cs="Times New Roman"/>
          <w:lang w:val="es-MX"/>
        </w:rPr>
        <w:t>pero primero adjunte los artículos identificados en Consensus, y utilice el siguiente pront:</w:t>
      </w:r>
    </w:p>
    <w:p w14:paraId="4A9213E1" w14:textId="4D5D2C37" w:rsidR="008343E7" w:rsidRPr="008343E7" w:rsidRDefault="008343E7" w:rsidP="008343E7">
      <w:pPr>
        <w:jc w:val="both"/>
        <w:rPr>
          <w:rFonts w:ascii="Times New Roman" w:hAnsi="Times New Roman" w:cs="Times New Roman"/>
          <w:lang w:val="es-MX"/>
        </w:rPr>
      </w:pPr>
      <w:r>
        <w:rPr>
          <w:rFonts w:ascii="Times New Roman" w:hAnsi="Times New Roman" w:cs="Times New Roman"/>
          <w:i/>
          <w:iCs/>
          <w:lang w:val="es-MX"/>
        </w:rPr>
        <w:t>“</w:t>
      </w:r>
      <w:r w:rsidRPr="008343E7">
        <w:rPr>
          <w:rFonts w:ascii="Times New Roman" w:hAnsi="Times New Roman" w:cs="Times New Roman"/>
          <w:i/>
          <w:iCs/>
          <w:lang w:val="es-MX"/>
        </w:rPr>
        <w:t>Actúa como un investigador académico de Harvard especializado en metodología de la investigación. Me encuentro desarrollando el articulo científico cuyo tema es: "Factores críticos que contribuyen a incrementar el éxito de los proyectos de infraestructura en el Gobierno Autónomo Descentralizado Municipal del cantón La Troncal, en la provincia de Cañar, Ecuador., Escribe una revisión de literatura de alto nivel académico sobre el tema que incluya: Contexto general del tema</w:t>
      </w:r>
      <w:r>
        <w:rPr>
          <w:rFonts w:ascii="Times New Roman" w:hAnsi="Times New Roman" w:cs="Times New Roman"/>
          <w:i/>
          <w:iCs/>
          <w:lang w:val="es-MX"/>
        </w:rPr>
        <w:t>;</w:t>
      </w:r>
      <w:r w:rsidRPr="008343E7">
        <w:rPr>
          <w:rFonts w:ascii="Times New Roman" w:hAnsi="Times New Roman" w:cs="Times New Roman"/>
          <w:i/>
          <w:iCs/>
          <w:lang w:val="es-MX"/>
        </w:rPr>
        <w:t xml:space="preserve"> Estado del arte, qué dice la literatura </w:t>
      </w:r>
      <w:r>
        <w:rPr>
          <w:rFonts w:ascii="Times New Roman" w:hAnsi="Times New Roman" w:cs="Times New Roman"/>
          <w:i/>
          <w:iCs/>
          <w:lang w:val="es-MX"/>
        </w:rPr>
        <w:t>actúa;</w:t>
      </w:r>
      <w:r w:rsidRPr="008343E7">
        <w:rPr>
          <w:rFonts w:ascii="Times New Roman" w:hAnsi="Times New Roman" w:cs="Times New Roman"/>
          <w:i/>
          <w:iCs/>
          <w:lang w:val="es-MX"/>
        </w:rPr>
        <w:t xml:space="preserve"> Brecha de investigación identificada, qué no se ha estudiado todavía</w:t>
      </w:r>
      <w:r>
        <w:rPr>
          <w:rFonts w:ascii="Times New Roman" w:hAnsi="Times New Roman" w:cs="Times New Roman"/>
          <w:i/>
          <w:iCs/>
          <w:lang w:val="es-MX"/>
        </w:rPr>
        <w:t>;</w:t>
      </w:r>
      <w:r w:rsidRPr="008343E7">
        <w:rPr>
          <w:rFonts w:ascii="Times New Roman" w:hAnsi="Times New Roman" w:cs="Times New Roman"/>
          <w:i/>
          <w:iCs/>
          <w:lang w:val="es-MX"/>
        </w:rPr>
        <w:t xml:space="preserve"> y Cómo la investigación llena esa brecha. Presenta en 600 palabras, en las citas parafraseadas los autores no deben constar solo al final</w:t>
      </w:r>
      <w:r>
        <w:rPr>
          <w:rFonts w:ascii="Times New Roman" w:hAnsi="Times New Roman" w:cs="Times New Roman"/>
          <w:lang w:val="es-MX"/>
        </w:rPr>
        <w:t>”</w:t>
      </w:r>
      <w:r w:rsidRPr="008343E7">
        <w:rPr>
          <w:rFonts w:ascii="Times New Roman" w:hAnsi="Times New Roman" w:cs="Times New Roman"/>
          <w:lang w:val="es-MX"/>
        </w:rPr>
        <w:t xml:space="preserve">  </w:t>
      </w:r>
    </w:p>
    <w:p w14:paraId="3B0560CC" w14:textId="77777777" w:rsidR="008343E7" w:rsidRDefault="008343E7" w:rsidP="0054436C">
      <w:pPr>
        <w:spacing w:line="276" w:lineRule="auto"/>
        <w:rPr>
          <w:rFonts w:ascii="Times New Roman" w:hAnsi="Times New Roman" w:cs="Times New Roman"/>
          <w:lang w:val="es-MX"/>
        </w:rPr>
      </w:pPr>
    </w:p>
    <w:p w14:paraId="4EFE149D" w14:textId="3B5B5CD6" w:rsidR="004B1B3B" w:rsidRDefault="008343E7" w:rsidP="0054436C">
      <w:pPr>
        <w:spacing w:line="276" w:lineRule="auto"/>
        <w:rPr>
          <w:rFonts w:ascii="Times New Roman" w:hAnsi="Times New Roman" w:cs="Times New Roman"/>
          <w:lang w:val="es-MX"/>
        </w:rPr>
      </w:pPr>
      <w:r w:rsidRPr="008343E7">
        <w:rPr>
          <w:rFonts w:ascii="Times New Roman" w:hAnsi="Times New Roman" w:cs="Times New Roman"/>
          <w:noProof/>
          <w:lang w:val="es-MX"/>
        </w:rPr>
        <w:drawing>
          <wp:inline distT="0" distB="0" distL="0" distR="0" wp14:anchorId="452E0B79" wp14:editId="5F5AD99E">
            <wp:extent cx="5943600" cy="2644775"/>
            <wp:effectExtent l="0" t="0" r="0" b="3175"/>
            <wp:docPr id="1240326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26400" name=""/>
                    <pic:cNvPicPr/>
                  </pic:nvPicPr>
                  <pic:blipFill>
                    <a:blip r:embed="rId12"/>
                    <a:stretch>
                      <a:fillRect/>
                    </a:stretch>
                  </pic:blipFill>
                  <pic:spPr>
                    <a:xfrm>
                      <a:off x="0" y="0"/>
                      <a:ext cx="5943600" cy="2644775"/>
                    </a:xfrm>
                    <a:prstGeom prst="rect">
                      <a:avLst/>
                    </a:prstGeom>
                  </pic:spPr>
                </pic:pic>
              </a:graphicData>
            </a:graphic>
          </wp:inline>
        </w:drawing>
      </w:r>
    </w:p>
    <w:p w14:paraId="4094EE97" w14:textId="77777777" w:rsidR="0054436C" w:rsidRPr="00B24168" w:rsidRDefault="0054436C" w:rsidP="0054436C">
      <w:pPr>
        <w:spacing w:line="276" w:lineRule="auto"/>
        <w:rPr>
          <w:rFonts w:ascii="Times New Roman" w:hAnsi="Times New Roman" w:cs="Times New Roman"/>
          <w:lang w:val="es-MX"/>
        </w:rPr>
      </w:pPr>
    </w:p>
    <w:p w14:paraId="2C91E070" w14:textId="77777777" w:rsidR="0054436C" w:rsidRPr="007F1156" w:rsidRDefault="0054436C" w:rsidP="0054436C">
      <w:pPr>
        <w:spacing w:line="276" w:lineRule="auto"/>
        <w:rPr>
          <w:rFonts w:ascii="Times New Roman" w:hAnsi="Times New Roman" w:cs="Times New Roman"/>
          <w:b/>
          <w:bCs/>
          <w:lang w:val="es-MX"/>
        </w:rPr>
      </w:pPr>
      <w:r w:rsidRPr="007F1156">
        <w:rPr>
          <w:rFonts w:ascii="Times New Roman" w:hAnsi="Times New Roman" w:cs="Times New Roman"/>
          <w:b/>
          <w:bCs/>
          <w:lang w:val="es-MX"/>
        </w:rPr>
        <w:t>Declaración de uso de IA:</w:t>
      </w:r>
    </w:p>
    <w:p w14:paraId="447581D0" w14:textId="43F01FB6" w:rsidR="0054436C" w:rsidRDefault="0054436C" w:rsidP="007F1156">
      <w:pPr>
        <w:spacing w:line="276" w:lineRule="auto"/>
        <w:jc w:val="both"/>
        <w:rPr>
          <w:rFonts w:ascii="Times New Roman" w:hAnsi="Times New Roman" w:cs="Times New Roman"/>
          <w:lang w:val="es-MX"/>
        </w:rPr>
      </w:pPr>
      <w:r w:rsidRPr="00B24168">
        <w:rPr>
          <w:rFonts w:ascii="Times New Roman" w:hAnsi="Times New Roman" w:cs="Times New Roman"/>
          <w:lang w:val="es-MX"/>
        </w:rPr>
        <w:t xml:space="preserve">Esta revisión de literatura fue elaborada con asistencia de </w:t>
      </w:r>
      <w:r w:rsidRPr="0054436C">
        <w:rPr>
          <w:rFonts w:ascii="Times New Roman" w:hAnsi="Times New Roman" w:cs="Times New Roman"/>
          <w:lang w:val="es-MX"/>
        </w:rPr>
        <w:t xml:space="preserve">herramientas de inteligencia artificial. Se utilizó </w:t>
      </w:r>
      <w:r w:rsidR="007F1156">
        <w:rPr>
          <w:rFonts w:ascii="Times New Roman" w:hAnsi="Times New Roman" w:cs="Times New Roman"/>
          <w:lang w:val="es-MX"/>
        </w:rPr>
        <w:t xml:space="preserve">Consensus, </w:t>
      </w:r>
      <w:r w:rsidR="007F1156" w:rsidRPr="007F1156">
        <w:rPr>
          <w:rFonts w:ascii="Times New Roman" w:hAnsi="Times New Roman" w:cs="Times New Roman"/>
          <w:lang w:val="es-MX"/>
        </w:rPr>
        <w:t xml:space="preserve">NotebookLM </w:t>
      </w:r>
      <w:r w:rsidR="007F1156">
        <w:rPr>
          <w:rFonts w:ascii="Times New Roman" w:hAnsi="Times New Roman" w:cs="Times New Roman"/>
          <w:lang w:val="es-MX"/>
        </w:rPr>
        <w:t xml:space="preserve">y Gemini </w:t>
      </w:r>
      <w:r w:rsidR="007F1156" w:rsidRPr="0054436C">
        <w:rPr>
          <w:rFonts w:ascii="Times New Roman" w:hAnsi="Times New Roman" w:cs="Times New Roman"/>
          <w:lang w:val="es-MX"/>
        </w:rPr>
        <w:t>para</w:t>
      </w:r>
      <w:r w:rsidRPr="0054436C">
        <w:rPr>
          <w:rFonts w:ascii="Times New Roman" w:hAnsi="Times New Roman" w:cs="Times New Roman"/>
          <w:lang w:val="es-MX"/>
        </w:rPr>
        <w:t xml:space="preserve"> búsqueda de literatura, síntesis, redacción, etc. Todos los contenidos fueron verificados por el autor y la responsabilidad de las afirmaciones es exclusivamente del autor.</w:t>
      </w:r>
    </w:p>
    <w:sectPr w:rsidR="005443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44545" w14:textId="77777777" w:rsidR="006A461E" w:rsidRDefault="006A461E" w:rsidP="007045EF">
      <w:pPr>
        <w:spacing w:after="0" w:line="240" w:lineRule="auto"/>
      </w:pPr>
      <w:r>
        <w:separator/>
      </w:r>
    </w:p>
  </w:endnote>
  <w:endnote w:type="continuationSeparator" w:id="0">
    <w:p w14:paraId="53FCA613" w14:textId="77777777" w:rsidR="006A461E" w:rsidRDefault="006A461E" w:rsidP="00704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D2C82" w14:textId="77777777" w:rsidR="006A461E" w:rsidRDefault="006A461E" w:rsidP="007045EF">
      <w:pPr>
        <w:spacing w:after="0" w:line="240" w:lineRule="auto"/>
      </w:pPr>
      <w:r>
        <w:separator/>
      </w:r>
    </w:p>
  </w:footnote>
  <w:footnote w:type="continuationSeparator" w:id="0">
    <w:p w14:paraId="499FF65B" w14:textId="77777777" w:rsidR="006A461E" w:rsidRDefault="006A461E" w:rsidP="007045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5C5D"/>
    <w:multiLevelType w:val="hybridMultilevel"/>
    <w:tmpl w:val="4FEC89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AC4133"/>
    <w:multiLevelType w:val="hybridMultilevel"/>
    <w:tmpl w:val="BEFC4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7878DB"/>
    <w:multiLevelType w:val="hybridMultilevel"/>
    <w:tmpl w:val="01F21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3F7322"/>
    <w:multiLevelType w:val="hybridMultilevel"/>
    <w:tmpl w:val="75AA8A56"/>
    <w:lvl w:ilvl="0" w:tplc="256873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2758957">
    <w:abstractNumId w:val="0"/>
  </w:num>
  <w:num w:numId="2" w16cid:durableId="461966443">
    <w:abstractNumId w:val="3"/>
  </w:num>
  <w:num w:numId="3" w16cid:durableId="1915045861">
    <w:abstractNumId w:val="1"/>
  </w:num>
  <w:num w:numId="4" w16cid:durableId="1680498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38"/>
    <w:rsid w:val="00067F29"/>
    <w:rsid w:val="000A4458"/>
    <w:rsid w:val="000C04FF"/>
    <w:rsid w:val="000F488F"/>
    <w:rsid w:val="00167A38"/>
    <w:rsid w:val="00225B5E"/>
    <w:rsid w:val="004235CA"/>
    <w:rsid w:val="004629FE"/>
    <w:rsid w:val="00485EE4"/>
    <w:rsid w:val="004B01E5"/>
    <w:rsid w:val="004B1B3B"/>
    <w:rsid w:val="00523D5B"/>
    <w:rsid w:val="005424DE"/>
    <w:rsid w:val="0054436C"/>
    <w:rsid w:val="00565303"/>
    <w:rsid w:val="00667D69"/>
    <w:rsid w:val="006A461E"/>
    <w:rsid w:val="006C547C"/>
    <w:rsid w:val="006D2A92"/>
    <w:rsid w:val="006D4ED4"/>
    <w:rsid w:val="007045EF"/>
    <w:rsid w:val="007841AE"/>
    <w:rsid w:val="007F1156"/>
    <w:rsid w:val="008343E7"/>
    <w:rsid w:val="0085451E"/>
    <w:rsid w:val="009369FB"/>
    <w:rsid w:val="00A23955"/>
    <w:rsid w:val="00AD2C80"/>
    <w:rsid w:val="00B24168"/>
    <w:rsid w:val="00C34287"/>
    <w:rsid w:val="00D00223"/>
    <w:rsid w:val="00D61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5A8A2"/>
  <w15:chartTrackingRefBased/>
  <w15:docId w15:val="{20801BAF-567E-4FD9-A7E0-DCB154F87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7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7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7A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7A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7A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7A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7A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7A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7A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7A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7A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7A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7A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7A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7A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7A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7A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7A38"/>
    <w:rPr>
      <w:rFonts w:eastAsiaTheme="majorEastAsia" w:cstheme="majorBidi"/>
      <w:color w:val="272727" w:themeColor="text1" w:themeTint="D8"/>
    </w:rPr>
  </w:style>
  <w:style w:type="paragraph" w:styleId="Ttulo">
    <w:name w:val="Title"/>
    <w:basedOn w:val="Normal"/>
    <w:next w:val="Normal"/>
    <w:link w:val="TtuloCar"/>
    <w:uiPriority w:val="10"/>
    <w:qFormat/>
    <w:rsid w:val="00167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7A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7A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7A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7A38"/>
    <w:pPr>
      <w:spacing w:before="160"/>
      <w:jc w:val="center"/>
    </w:pPr>
    <w:rPr>
      <w:i/>
      <w:iCs/>
      <w:color w:val="404040" w:themeColor="text1" w:themeTint="BF"/>
    </w:rPr>
  </w:style>
  <w:style w:type="character" w:customStyle="1" w:styleId="CitaCar">
    <w:name w:val="Cita Car"/>
    <w:basedOn w:val="Fuentedeprrafopredeter"/>
    <w:link w:val="Cita"/>
    <w:uiPriority w:val="29"/>
    <w:rsid w:val="00167A38"/>
    <w:rPr>
      <w:i/>
      <w:iCs/>
      <w:color w:val="404040" w:themeColor="text1" w:themeTint="BF"/>
    </w:rPr>
  </w:style>
  <w:style w:type="paragraph" w:styleId="Prrafodelista">
    <w:name w:val="List Paragraph"/>
    <w:basedOn w:val="Normal"/>
    <w:uiPriority w:val="34"/>
    <w:qFormat/>
    <w:rsid w:val="00167A38"/>
    <w:pPr>
      <w:ind w:left="720"/>
      <w:contextualSpacing/>
    </w:pPr>
  </w:style>
  <w:style w:type="character" w:styleId="nfasisintenso">
    <w:name w:val="Intense Emphasis"/>
    <w:basedOn w:val="Fuentedeprrafopredeter"/>
    <w:uiPriority w:val="21"/>
    <w:qFormat/>
    <w:rsid w:val="00167A38"/>
    <w:rPr>
      <w:i/>
      <w:iCs/>
      <w:color w:val="0F4761" w:themeColor="accent1" w:themeShade="BF"/>
    </w:rPr>
  </w:style>
  <w:style w:type="paragraph" w:styleId="Citadestacada">
    <w:name w:val="Intense Quote"/>
    <w:basedOn w:val="Normal"/>
    <w:next w:val="Normal"/>
    <w:link w:val="CitadestacadaCar"/>
    <w:uiPriority w:val="30"/>
    <w:qFormat/>
    <w:rsid w:val="00167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7A38"/>
    <w:rPr>
      <w:i/>
      <w:iCs/>
      <w:color w:val="0F4761" w:themeColor="accent1" w:themeShade="BF"/>
    </w:rPr>
  </w:style>
  <w:style w:type="character" w:styleId="Referenciaintensa">
    <w:name w:val="Intense Reference"/>
    <w:basedOn w:val="Fuentedeprrafopredeter"/>
    <w:uiPriority w:val="32"/>
    <w:qFormat/>
    <w:rsid w:val="00167A38"/>
    <w:rPr>
      <w:b/>
      <w:bCs/>
      <w:smallCaps/>
      <w:color w:val="0F4761" w:themeColor="accent1" w:themeShade="BF"/>
      <w:spacing w:val="5"/>
    </w:rPr>
  </w:style>
  <w:style w:type="paragraph" w:styleId="Bibliografa">
    <w:name w:val="Bibliography"/>
    <w:basedOn w:val="Normal"/>
    <w:next w:val="Normal"/>
    <w:uiPriority w:val="37"/>
    <w:unhideWhenUsed/>
    <w:rsid w:val="00B24168"/>
    <w:pPr>
      <w:spacing w:after="0" w:line="480" w:lineRule="auto"/>
      <w:ind w:left="720" w:hanging="720"/>
    </w:pPr>
  </w:style>
  <w:style w:type="paragraph" w:styleId="Encabezado">
    <w:name w:val="header"/>
    <w:basedOn w:val="Normal"/>
    <w:link w:val="EncabezadoCar"/>
    <w:uiPriority w:val="99"/>
    <w:unhideWhenUsed/>
    <w:rsid w:val="007045E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045EF"/>
  </w:style>
  <w:style w:type="paragraph" w:styleId="Piedepgina">
    <w:name w:val="footer"/>
    <w:basedOn w:val="Normal"/>
    <w:link w:val="PiedepginaCar"/>
    <w:uiPriority w:val="99"/>
    <w:unhideWhenUsed/>
    <w:rsid w:val="007045E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04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7</Pages>
  <Words>4166</Words>
  <Characters>23748</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Giovanni Vicuña Matute</dc:creator>
  <cp:keywords/>
  <dc:description/>
  <cp:lastModifiedBy>William Giovanni Vicuña Matute</cp:lastModifiedBy>
  <cp:revision>10</cp:revision>
  <dcterms:created xsi:type="dcterms:W3CDTF">2026-07-05T06:03:00Z</dcterms:created>
  <dcterms:modified xsi:type="dcterms:W3CDTF">2026-07-06T02:43:00Z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id="x78G4ZgT"/&gt;&lt;style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