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1E57" w14:textId="77777777" w:rsidR="00763BDC" w:rsidRPr="00745693" w:rsidRDefault="00000000">
      <w:pPr>
        <w:spacing w:after="160"/>
        <w:rPr>
          <w:sz w:val="18"/>
          <w:szCs w:val="18"/>
          <w:lang w:val="es-EC"/>
        </w:rPr>
      </w:pPr>
      <w:r w:rsidRPr="00745693">
        <w:rPr>
          <w:b/>
          <w:sz w:val="24"/>
          <w:szCs w:val="18"/>
          <w:lang w:val="es-EC"/>
        </w:rPr>
        <w:t>BioGraphBench: un benchmark reproducible y auditable para aprendizaje sobre grafos biomédicos</w:t>
      </w:r>
    </w:p>
    <w:p w14:paraId="5B22B37D" w14:textId="77777777" w:rsidR="00763BDC" w:rsidRPr="00745693" w:rsidRDefault="00000000">
      <w:pPr>
        <w:spacing w:after="80"/>
        <w:rPr>
          <w:lang w:val="es-EC"/>
        </w:rPr>
      </w:pPr>
      <w:r w:rsidRPr="00745693">
        <w:rPr>
          <w:b/>
          <w:sz w:val="24"/>
          <w:lang w:val="es-EC"/>
        </w:rPr>
        <w:t>Resumen</w:t>
      </w:r>
    </w:p>
    <w:p w14:paraId="5D4CB1FA" w14:textId="2D7AFE94" w:rsidR="00763BDC" w:rsidRPr="00745693" w:rsidRDefault="00000000">
      <w:pPr>
        <w:spacing w:after="160" w:line="259" w:lineRule="auto"/>
        <w:rPr>
          <w:lang w:val="es-EC"/>
        </w:rPr>
      </w:pPr>
      <w:r w:rsidRPr="00745693">
        <w:rPr>
          <w:lang w:val="es-EC"/>
        </w:rPr>
        <w:t xml:space="preserve">El aprendizaje sobre grafos biomédicos ha impulsado el uso de GNNs en </w:t>
      </w:r>
      <w:r w:rsidR="00745693">
        <w:rPr>
          <w:lang w:val="es-EC"/>
        </w:rPr>
        <w:t>la predicción de interacciones proteína-proteína y en la</w:t>
      </w:r>
      <w:r w:rsidRPr="00745693">
        <w:rPr>
          <w:lang w:val="es-EC"/>
        </w:rPr>
        <w:t xml:space="preserve"> anotación funcional; sin embargo, muchos resultados dependen de datasets, splits y baselines poco auditables. Este trabajo presenta BioGraphBench, un benchmark diseñado para priorizar </w:t>
      </w:r>
      <w:r w:rsidR="00745693">
        <w:rPr>
          <w:lang w:val="es-EC"/>
        </w:rPr>
        <w:t xml:space="preserve">la </w:t>
      </w:r>
      <w:r w:rsidRPr="00745693">
        <w:rPr>
          <w:lang w:val="es-EC"/>
        </w:rPr>
        <w:t xml:space="preserve">confianza experimental </w:t>
      </w:r>
      <w:r w:rsidR="00745693">
        <w:rPr>
          <w:lang w:val="es-EC"/>
        </w:rPr>
        <w:t>por encima de</w:t>
      </w:r>
      <w:r w:rsidRPr="00745693">
        <w:rPr>
          <w:lang w:val="es-EC"/>
        </w:rPr>
        <w:t xml:space="preserve"> </w:t>
      </w:r>
      <w:r w:rsidR="00745693">
        <w:rPr>
          <w:lang w:val="es-EC"/>
        </w:rPr>
        <w:t xml:space="preserve">la </w:t>
      </w:r>
      <w:r w:rsidRPr="00745693">
        <w:rPr>
          <w:lang w:val="es-EC"/>
        </w:rPr>
        <w:t xml:space="preserve">complejidad arquitectónica y facilitar comparaciones transparentes. Se construyó un pipeline reproducible que audita recursos abiertos, canonicaliza </w:t>
      </w:r>
      <w:r w:rsidR="00745693">
        <w:rPr>
          <w:lang w:val="es-EC"/>
        </w:rPr>
        <w:t>las redes STRING y BioGRID, define tareas de link prediction y node classification, genera splits controlados, calcula features únicamente a partir del</w:t>
      </w:r>
      <w:r w:rsidRPr="00745693">
        <w:rPr>
          <w:lang w:val="es-EC"/>
        </w:rPr>
        <w:t xml:space="preserve"> grafo de entrenamiento y evalúa heurísticas, modelos supervisados y pilotos neuronales mediante AUROC, AUPRC, calibración y métricas multilabel. En </w:t>
      </w:r>
      <w:r w:rsidR="00745693">
        <w:rPr>
          <w:lang w:val="es-EC"/>
        </w:rPr>
        <w:t xml:space="preserve">el link prediction de PPI, HistGradientBoosting alcanzó un AUPRC entre 0,942 y 0,963, con un </w:t>
      </w:r>
      <w:r w:rsidRPr="00745693">
        <w:rPr>
          <w:lang w:val="es-EC"/>
        </w:rPr>
        <w:t xml:space="preserve">ECE-10 entre 0,0037 y 0,0060, estableciendo un baseline no neuronal exigente. En node classification BioGRID+GOBP, el GCN piloto obtuvo Macro AUPRC=0,016 y Micro-F1 cercano a 0,021, </w:t>
      </w:r>
      <w:r w:rsidR="00745693">
        <w:rPr>
          <w:lang w:val="es-EC"/>
        </w:rPr>
        <w:t>lo que evidencia</w:t>
      </w:r>
      <w:r w:rsidRPr="00745693">
        <w:rPr>
          <w:lang w:val="es-EC"/>
        </w:rPr>
        <w:t xml:space="preserve"> </w:t>
      </w:r>
      <w:r w:rsidR="00745693">
        <w:rPr>
          <w:lang w:val="es-EC"/>
        </w:rPr>
        <w:t>que la tarea es</w:t>
      </w:r>
      <w:r w:rsidRPr="00745693">
        <w:rPr>
          <w:lang w:val="es-EC"/>
        </w:rPr>
        <w:t xml:space="preserve"> aún difícil bajo desbalance extremo. BioGraphBench muestra que un benchmark biomédico serio debe iniciar con trazabilidad, controles de leakage, baselines fuertes y métricas calibradas. Su contribución es una base reproducible para evaluar futuras GNNs bajo condiciones científicamente interpretables y reconstruibles </w:t>
      </w:r>
      <w:r w:rsidR="00745693">
        <w:rPr>
          <w:lang w:val="es-EC"/>
        </w:rPr>
        <w:t>a partir de</w:t>
      </w:r>
      <w:r w:rsidRPr="00745693">
        <w:rPr>
          <w:lang w:val="es-EC"/>
        </w:rPr>
        <w:t xml:space="preserve"> los datos originales.</w:t>
      </w:r>
    </w:p>
    <w:p w14:paraId="6254AF6A" w14:textId="77777777" w:rsidR="00763BDC" w:rsidRPr="00745693" w:rsidRDefault="00000000">
      <w:pPr>
        <w:spacing w:after="80"/>
        <w:rPr>
          <w:lang w:val="es-EC"/>
        </w:rPr>
      </w:pPr>
      <w:r w:rsidRPr="00745693">
        <w:rPr>
          <w:b/>
          <w:lang w:val="es-EC"/>
        </w:rPr>
        <w:t xml:space="preserve">Palabras clave: </w:t>
      </w:r>
      <w:r w:rsidRPr="00745693">
        <w:rPr>
          <w:lang w:val="es-EC"/>
        </w:rPr>
        <w:t>BioGraphBench, grafos biomédicos, benchmark reproducible, predicción de enlaces, redes proteína-proteína.</w:t>
      </w:r>
    </w:p>
    <w:sectPr w:rsidR="00763BDC" w:rsidRPr="00745693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35040">
    <w:abstractNumId w:val="8"/>
  </w:num>
  <w:num w:numId="2" w16cid:durableId="1193297872">
    <w:abstractNumId w:val="6"/>
  </w:num>
  <w:num w:numId="3" w16cid:durableId="1242446560">
    <w:abstractNumId w:val="5"/>
  </w:num>
  <w:num w:numId="4" w16cid:durableId="1170829898">
    <w:abstractNumId w:val="4"/>
  </w:num>
  <w:num w:numId="5" w16cid:durableId="821774166">
    <w:abstractNumId w:val="7"/>
  </w:num>
  <w:num w:numId="6" w16cid:durableId="1539930623">
    <w:abstractNumId w:val="3"/>
  </w:num>
  <w:num w:numId="7" w16cid:durableId="170410731">
    <w:abstractNumId w:val="2"/>
  </w:num>
  <w:num w:numId="8" w16cid:durableId="1831405433">
    <w:abstractNumId w:val="1"/>
  </w:num>
  <w:num w:numId="9" w16cid:durableId="23293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60E"/>
    <w:rsid w:val="00745693"/>
    <w:rsid w:val="00763B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5F671F"/>
  <w14:defaultImageDpi w14:val="300"/>
  <w15:docId w15:val="{1D0599DE-5983-4AE8-8E41-495AF651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Eduardo Villegas</cp:lastModifiedBy>
  <cp:revision>2</cp:revision>
  <dcterms:created xsi:type="dcterms:W3CDTF">2013-12-23T23:15:00Z</dcterms:created>
  <dcterms:modified xsi:type="dcterms:W3CDTF">2026-08-05T15:41:00Z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74365462-268a-4bd5-9fd5-fbbbb3c0d46d</vt:lpwstr>
  </property>
</Properties>
</file>