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B2540"/>
          <w:sz w:val="44"/>
          <w:szCs w:val="44"/>
        </w:rPr>
        <w:t xml:space="preserve">DataSense / SmartML Dashboard</w:t>
      </w:r>
    </w:p>
    <w:p>
      <w:pPr>
        <w:spacing w:after="100"/>
      </w:pPr>
      <w:r>
        <w:rPr>
          <w:color w:val="6B5CA5"/>
          <w:sz w:val="28"/>
          <w:szCs w:val="28"/>
        </w:rPr>
        <w:t xml:space="preserve">Reference UI &amp; Feature Teardown — for build/IDE handoff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Source: screen-recorded walkthrough of a reference implementation (video, ~7m16s, localhost:3000). Frames extracted and analyzed directly; all screenshots below are stills from that recording.</w:t>
      </w:r>
    </w:p>
    <w:p>
      <w:pPr>
        <w:pStyle w:val="Heading1"/>
        <w:spacing w:after="160" w:before="400"/>
      </w:pPr>
      <w:r>
        <w:t xml:space="preserve">1. Purpose of this document</w:t>
      </w:r>
    </w:p>
    <w:p>
      <w:pPr>
        <w:spacing w:after="160"/>
      </w:pPr>
      <w:r>
        <w:t xml:space="preserve">This document exists to give an IDE / coding agent (and any developer) a complete, screenshot-grounded spec of a reference AutoML/data-analytics product called "DataSense", so its features can be evaluated against and folded into an existing build (working name: SmartML Dashboard). It is organized by screen/route, with what's on each screen, what it implies about data model and API surface, and how it differs from the original 6-step build prompt this project started from.</w:t>
      </w:r>
    </w:p>
    <w:p>
      <w:pPr>
        <w:spacing w:after="160"/>
      </w:pPr>
      <w:r>
        <w:t xml:space="preserve">Read this alongside the original prompt (six-step flow: Upload → Analyzing → Dataset Config → Training → Results, with a persistent AI Assistant sidebar). Anything below not covered by that prompt is a genuine gap or an upgrade opportunity — called out explicitly in each section.</w:t>
      </w:r>
    </w:p>
    <w:p>
      <w:pPr>
        <w:pStyle w:val="Heading1"/>
        <w:spacing w:after="160" w:before="400"/>
      </w:pPr>
      <w:r>
        <w:t xml:space="preserve">2. High-level architecture difference</w:t>
      </w:r>
    </w:p>
    <w:p>
      <w:pPr>
        <w:spacing w:after="160"/>
      </w:pPr>
      <w:r>
        <w:t xml:space="preserve">The most important structural finding: the reference app is NOT a single-page 6-step wizard. It is a multi-route application with a persistent top navigation bar (Home, Upload, Cleaning, Visualization, Feature Analysis, AI Insights, Predictions) and its own client-side routing: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/signin —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 (home) — marketing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/upload — dataset upload + dataset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/preview?datasetId=N — dataset preview + row browser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/cleaning?datasetId=N — Data Cleaning Studio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/visualization?datasetId=N — chart builder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/feature-analysis?datasetId=N — feature relationships &amp; redundancy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/ai-insights?datasetId=N — AI-generated analytics + PDF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/predictions?datasetId=N — model training / forecasting</w:t>
      </w:r>
    </w:p>
    <w:p>
      <w:pPr>
        <w:spacing w:after="160"/>
      </w:pPr>
      <w:r>
        <w:rPr>
          <w:b/>
          <w:bCs/>
        </w:rPr>
        <w:t xml:space="preserve">Each dataset is a persistent object (datasetId), not a transient job_id tied to one session. Users can navigate away and resume. This is a bigger decision than a UI tweak — it changes the backend data model from "job" to "dataset" as the core entity, with jobs/runs as children of a dataset.</w:t>
      </w:r>
    </w:p>
    <w:p>
      <w:pPr>
        <w:pStyle w:val="Heading1"/>
        <w:spacing w:after="160" w:before="400"/>
      </w:pPr>
      <w:r>
        <w:t xml:space="preserve">3. Screen-by-screen breakdown</w:t>
      </w:r>
    </w:p>
    <w:p>
      <w:pPr>
        <w:pStyle w:val="Heading2"/>
        <w:spacing w:after="120" w:before="280"/>
      </w:pPr>
      <w:r>
        <w:t xml:space="preserve">3.1 Sign In (/signin) — NOT in original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1. Sign-in screen. Dark background (brick photo texture, heavily darkened), centered glass-panel card.</w:t>
      </w:r>
    </w:p>
    <w:p>
      <w:pPr>
        <w:spacing w:after="160"/>
      </w:pPr>
      <w:r>
        <w:t xml:space="preserve">Fields: Username, Password (with show/hide toggle), "Remember me" checkbox, "Forgot password?" link, primary Login button (white pill, full width), secondary "Register" link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deliberately whether the build needs auth at all for a portfolio demo, or whether this is skipped in favor of a single implicit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added: needs /signin, /register, forgot-password flow, and a session/JWT layer gating all other routes.</w:t>
      </w:r>
    </w:p>
    <w:p>
      <w:pPr>
        <w:pStyle w:val="Heading2"/>
        <w:spacing w:after="120" w:before="280"/>
      </w:pPr>
      <w:r>
        <w:t xml:space="preserve">3.2 Landing / Home (/) — NOT in original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2. Hero section: headline "Turn raw data into clear decisions", subtext, two CTAs ("Get started free", "See how it works"), isometric illustration on the right.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3. Feature grid section ("Everything you need in one workspace"): cards for CSV Upload, AI Cleaning, Smart Insights, Feature Analysis, Predictions, Visualization, Export Reports, Secure &amp; Private — each a short label + one-line description.</w:t>
      </w:r>
    </w:p>
    <w:p>
      <w:pPr>
        <w:spacing w:after="160"/>
      </w:pPr>
      <w:r>
        <w:t xml:space="preserve">Also present further down (seen in scrub, not screenshotted in full): a pricing section with Free / Pro / Enterprise tiers. Irrelevant to core functionality but confirms this is built/positioned as a SaaS product, not just a demo tool — informs whether you want a marketing shell around your app.</w:t>
      </w:r>
    </w:p>
    <w:p>
      <w:pPr>
        <w:pStyle w:val="Heading2"/>
        <w:spacing w:after="120" w:before="280"/>
      </w:pPr>
      <w:r>
        <w:t xml:space="preserve">3.3 Upload &amp; Dataset Library (/upload)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4. Upload screen: drag-and-drop zone with cloud icon, "Choose File" button, supported formats note (CSV, Excel, JSON, Max 100MB).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5. Below the upload zone: "Your Datasets" library, split into an in-progress section and a "Finalized Datasets" section.</w:t>
      </w:r>
    </w:p>
    <w:p>
      <w:pPr>
        <w:spacing w:after="160"/>
      </w:pPr>
      <w:r>
        <w:t xml:space="preserve">Per-dataset row shows: file-type icon, filename, status badge (IN PROGRESS / FINALIZED), file type + size + upload date, "N cleaning steps saved", row count, column count, and action buttons that change by status: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progress: Preview · Continue Cleaning · 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Finalized: Re-upload original file · View charts · Delete</w:t>
      </w:r>
    </w:p>
    <w:p>
      <w:pPr>
        <w:spacing w:after="160"/>
      </w:pPr>
      <w:r>
        <w:rPr>
          <w:i/>
          <w:iCs/>
        </w:rPr>
        <w:t xml:space="preserve">This confirms cleaning state is saved per-dataset and resumable — matches the architecture note in section 2.</w:t>
      </w:r>
    </w:p>
    <w:p>
      <w:pPr>
        <w:pStyle w:val="Heading2"/>
        <w:spacing w:after="120" w:before="280"/>
      </w:pPr>
      <w:r>
        <w:t xml:space="preserve">3.4 Dataset Preview (/preview)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6. Row-level table view: Customer_ID, Age, Gender, City, Annual_Income, Spending_Score columns shown, with "Rows X–Y of N" label, a rows-per-page selector, and numbered pagination (1, 2, 3 … 164).</w:t>
      </w:r>
    </w:p>
    <w:p>
      <w:pPr>
        <w:spacing w:after="160"/>
      </w:pPr>
      <w:r>
        <w:t xml:space="preserve">Bottom of the page has a "Ready to clean your data?" prompt with a gradient "Start Cleaning" button — this is the bridge into the Cleaning Studio. Original spec's "Dataset Preview" was a static first-10-rows card; this is a full paginated table browser.</w:t>
      </w:r>
    </w:p>
    <w:p>
      <w:pPr>
        <w:pStyle w:val="Heading2"/>
        <w:spacing w:after="120" w:before="280"/>
      </w:pPr>
      <w:r>
        <w:t xml:space="preserve">3.5 Data Cleaning Studio (/cleaning) — biggest gap vs. original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7. Full cleaning workbench layout, three-column body under a metrics strip.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8. Pipeline breadcrumb at top of page: numbered chips (1, 2, 3, 4…) each showing the action + target column (e.g. "Cap Outliers · Annual_Income"), connected left-to-right — a visible, sequential history of every cleaning step applied so far.</w:t>
      </w:r>
    </w:p>
    <w:p>
      <w:pPr>
        <w:spacing w:after="160"/>
      </w:pPr>
      <w:r>
        <w:t xml:space="preserve">Page header includes dataset name, an "N steps applied" badge, and a gear/pipeline icon block.</w:t>
      </w:r>
    </w:p>
    <w:p>
      <w:pPr>
        <w:pStyle w:val="Heading3"/>
        <w:spacing w:after="100" w:before="200"/>
      </w:pPr>
      <w:r>
        <w:t xml:space="preserve">Metrics strip (5 cards)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Columns — total column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Values — total cell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— missing cell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Outliers — detected outlier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/ Categorical — column type split</w:t>
      </w:r>
    </w:p>
    <w:p>
      <w:pPr>
        <w:pStyle w:val="Heading3"/>
        <w:spacing w:after="100" w:before="200"/>
      </w:pPr>
      <w:r>
        <w:t xml:space="preserve">Left panel — Columns list</w:t>
      </w:r>
    </w:p>
    <w:p>
      <w:pPr>
        <w:spacing w:after="160"/>
      </w:pPr>
      <w:r>
        <w:t xml:space="preserve">Every column listed with its detected type icon (# numeric / Aa categorical) and a status chip: a green "✓ Cleaned" tag once addressed, or a red count badge ("Missing 39", "Outliers 8") while unresolved. Clicking a column presumably scopes the middle panel's actions to it.</w:t>
      </w:r>
    </w:p>
    <w:p>
      <w:pPr>
        <w:pStyle w:val="Heading3"/>
        <w:spacing w:after="100" w:before="200"/>
      </w:pPr>
      <w:r>
        <w:t xml:space="preserve">Middle panel — Cleaning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Duplicates — remove duplicate 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Values — on the selected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Missing Values — with a strategy selector (e.g. Mean)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Outliers — with a strategy selector (e.g. Cap)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Encoding — for categorical columns</w:t>
      </w:r>
    </w:p>
    <w:p>
      <w:pPr>
        <w:pStyle w:val="Heading3"/>
        <w:spacing w:after="100" w:before="200"/>
      </w:pPr>
      <w:r>
        <w:t xml:space="preserve">Right panel — Utility &amp; Dataset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Column (destructive, shown in red) — targets the currently selected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Data — inline preview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Undo Last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CSV — export current cleaned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Dataset — locks the dataset, moves it to "Finalized" in the library</w:t>
      </w:r>
    </w:p>
    <w:p>
      <w:pPr>
        <w:spacing w:after="160"/>
      </w:pPr>
      <w:r>
        <w:rPr>
          <w:b/>
          <w:bCs/>
        </w:rPr>
        <w:t xml:space="preserve">Implied backend surface for this screen alone: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 /api/datasets/{id}/cleaning/actions</w:t>
      </w:r>
      <w:r>
        <w:rPr>
          <w:rFonts w:ascii="Consolas" w:cs="Consolas" w:eastAsia="Consolas" w:hAnsi="Consolas"/>
          <w:sz w:val="18"/>
          <w:szCs w:val="18"/>
        </w:rPr>
        <w:br/>
        <w:t xml:space="preserve">  { "action": "drop_duplicates" | "replace_values" | "handle_missing"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| "handle_outliers" | "encode" | "drop_column",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"column": "Annual_Income", "strategy": "mean" | "cap" | ... }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{ "step_id", "pipeline": [...], "metrics": {...}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/api/datasets/{id}/cleaning/undo   -&gt; { "pipeline": [...] }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/api/datasets/{id}/cleaning/download -&gt; CSV blob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/api/datasets/{id}/finalize        -&gt; { "status": "finalized" }</w:t>
      </w:r>
    </w:p>
    <w:p>
      <w:pPr>
        <w:pStyle w:val="Heading2"/>
        <w:spacing w:after="120" w:before="280"/>
      </w:pPr>
      <w:r>
        <w:t xml:space="preserve">3.6 Visualization (/visualization) — upgrade vs. original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9. Column-X and Column-Y selectors on the left, each with a Categorical/Numerical toggle and an auto-detected type label ("Detected: Numerical"). Right side: six chart-type cards (Bar Chart, Line Graph, Scatter Plot, Histogram, Pie Chart, Heat Map), each with a one-line description and a small preview glyph. Selected type is outlined + check-marked.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10. Chart Output area after "Generate Chart": renders via a stated charting library ("Recharts" tag visible next to a row-count tag), with an "Expand" control for full-screen view.</w:t>
      </w:r>
    </w:p>
    <w:p>
      <w:pPr>
        <w:spacing w:after="160"/>
      </w:pPr>
      <w:r>
        <w:t xml:space="preserve">Original spec: one dropdown, one column, one auto-rendered distribution. Reference app: full bivariate exploration (X vs Y, 6 chart types, explicit generate action, expand-to-fullscreen). This is a meaningfully bigger visualization module than what was originally scoped.</w:t>
      </w:r>
    </w:p>
    <w:p>
      <w:pPr>
        <w:pStyle w:val="Heading2"/>
        <w:spacing w:after="120" w:before="280"/>
      </w:pPr>
      <w:r>
        <w:t xml:space="preserve">3.7 Feature Analysis (/feature-analysis) — NOT in original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11. Three-panel layout: "Redundant Features" (left, pairs of highly-correlated columns with a similarity % and bar), "AI Feature Suggestions" (middle, AI-generated derived-feature ideas — e.g. a ratio feature or interaction term — each with a confidence ring and a "Generate Feature" button), "Dataset Readiness" (right, a circular ML-readiness score with a checklist: dataset loaded, relationships found, quality checks passed, numeric features present, ML-ready status).</w:t>
      </w:r>
    </w:p>
    <w:p>
      <w:pPr>
        <w:spacing w:after="160"/>
      </w:pPr>
      <w:r>
        <w:t xml:space="preserve">This is a dedicated pre-training diagnostics step: it tells the user which columns are redundant and offers to synthesize new features before they hit Train. Nothing like this exists in the original spec — closest analog is the AI-suggestion banner in Step 3, but that's target-column suggestion only, not feature engineering.</w:t>
      </w:r>
    </w:p>
    <w:p>
      <w:pPr>
        <w:pStyle w:val="Heading2"/>
        <w:spacing w:after="120" w:before="280"/>
      </w:pPr>
      <w:r>
        <w:t xml:space="preserve">3.8 AI Insights (/ai-insights) — spec has a banner, reference has a full module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12. Section intro: "AI Insights" headline, description, and a single "Generate Report" action that kicks off analysis ("Analyzing your dataset..." loading state).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13. Top metric row (Dataset Correlation, Data Completeness, Risk Level, Data Quality Score, each with a supporting stat like "207 transactions analyzed" and a trend note) followed by a "Comprehensive Intelligence" grid: Missing Values %, Duplicates, Categorical Features count, Numerical Features count, Anomalies Detected count, Strong Correlations (pair count).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14. "Processing Summary" + "Data Quality Metrics": Missing Values Fixed / Outliers Removed / Duplicates Removed / Columns Processed counters, plus Completeness / Consistency / Validity progress bars with percentages.</w:t>
      </w:r>
    </w:p>
    <w:p>
      <w:pPr>
        <w:spacing w:after="160"/>
      </w:pPr>
      <w:r>
        <w:t xml:space="preserve">Also generates a narrative section, "The Data Story" — an auto-written paragraph in plain English summarizing the dataset (row/column counts, general character of the data, e.g. "business operational data"), followed by an "Executive Summary" block. See section 3.10 for the exported PDF version.</w:t>
      </w:r>
    </w:p>
    <w:p>
      <w:pPr>
        <w:pStyle w:val="Heading2"/>
        <w:spacing w:after="120" w:before="280"/>
      </w:pPr>
      <w:r>
        <w:t xml:space="preserve">3.9 Business Risk Assessment (part of AI Insights flow)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15. "Overall Risk Assessment" — a circular score/gauge (e.g. "3"), followed by "Risk Breakdown by Category": Revenue Risk, Expense Risk, Operational Risk, Data Quality Risk, each as a labeled progress bar. Below that, a "Recommended Actions" list (short imperative bullets, e.g. conduct a review, implement a monitoring dashboard, schedule a data-quality audit).</w:t>
      </w:r>
    </w:p>
    <w:p>
      <w:pPr>
        <w:spacing w:after="160"/>
      </w:pPr>
      <w:r>
        <w:rPr>
          <w:b/>
          <w:bCs/>
        </w:rPr>
        <w:t xml:space="preserve">This reframes part of the tool from "train a model" to "assess business risk from this dataset." Bigger scope than the original spec intended — flag as an explicit scope decision, not an assumed add-on.</w:t>
      </w:r>
    </w:p>
    <w:p>
      <w:pPr>
        <w:pStyle w:val="Heading2"/>
        <w:spacing w:after="120" w:before="280"/>
      </w:pPr>
      <w:r>
        <w:t xml:space="preserve">3.10 Anomaly Detection Report (part of AI Insights flow)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16. Dedicated anomaly table: Total Anomalies / Critical Issues / Warning Issues counters, then a row-level table — Record ID, Metric, Actual Value, Expected Range, Severity (badge: CRITICAL/WARNING) — for every flagged record.</w:t>
      </w:r>
    </w:p>
    <w:p>
      <w:pPr>
        <w:spacing w:after="160"/>
      </w:pPr>
      <w:r>
        <w:t xml:space="preserve">Distinct from the aggregate "Anomalies Detected" count on the main AI Insights grid — this is the drill-down, row-by-row view.</w:t>
      </w:r>
    </w:p>
    <w:p>
      <w:pPr>
        <w:pStyle w:val="Heading2"/>
        <w:spacing w:after="120" w:before="280"/>
      </w:pPr>
      <w:r>
        <w:t xml:space="preserve">3.11 Exported PDF Report — genuinely new deliverable, not in spec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17. "Generate Report" produces a real downloadable PDF (seen opened in a new browser tab: AI_Insights_Report_{datasetId}.pdf). Contains: title, dataset name, "The Data Story" narrative panel, "Executive Summary", and further down the same Processing Summary metrics seen in-app.</w:t>
      </w:r>
    </w:p>
    <w:p>
      <w:pPr>
        <w:spacing w:after="160"/>
      </w:pPr>
      <w:r>
        <w:t xml:space="preserve">This is worth building: it demonstrates the product can turn model/analysis output into a shareable, non-technical document — a strong signal in a portfolio context, and moderate effort if you're already computing the underlying stats (server-side HTML → PDF, e.g. via a headless-browser render or a PDF templating library).</w:t>
      </w:r>
    </w:p>
    <w:p>
      <w:pPr>
        <w:pStyle w:val="Heading2"/>
        <w:spacing w:after="120" w:before="280"/>
      </w:pPr>
      <w:r>
        <w:t xml:space="preserve">3.12 Predictions (/predictions) — different problem type than original spec, not just a UI variant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18. "Predictive Intelligence" header ("Leverage advanced XGBoost and gradient ensemble models to forecast metrics with high accuracy"). "Model Configuration" panel: Active Dataset dropdown, Target Variable dropdown, "Run Prediction Model" button. On run: circular loading state with status text ("Initializing compute cluster...", "Fitting gradient ensemble models..."), then a "Training Model..." button label.</w:t>
      </w:r>
    </w:p>
    <w:p>
      <w:pPr>
        <w:spacing w:after="80"/>
      </w:pPr>
      <w:r>
        <w:drawing>
          <wp:inline distT="0" distB="0" distL="0" distR="0">
            <wp:extent cx="5486400" cy="308549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Fig 19. Result state: four metric cards — Model Accuracy %, R² Score, Error Margin %, Confidence Rating (text label such as "Very Good" / "Excellent" / "Outstanding") — followed by a "Historical vs Future Forecasted" line chart. The line is solid for historical actuals and switches to a dotted purple line for the forecast horizon (axis labeled Day 3 → Day 55 (Forecast)), with a hoverable tooltip on forecast points (e.g. "Day 45 (Forecast): 0.41").</w:t>
      </w:r>
    </w:p>
    <w:p>
      <w:pPr>
        <w:spacing w:after="160"/>
      </w:pPr>
      <w:r>
        <w:t xml:space="preserve">Below the chart: "Model Architecture &amp; Forecasting Explanation" — an auto-generated plain-English paragraph naming the actual algorithm (e.g. "Extreme Gradient Boosting (XGBoost) Regression integrated with Gradient Boosted Decision Trees") and why it was chosen.</w:t>
      </w:r>
    </w:p>
    <w:p>
      <w:pPr>
        <w:spacing w:after="160"/>
      </w:pPr>
      <w:r>
        <w:rPr>
          <w:b/>
          <w:bCs/>
        </w:rPr>
        <w:t xml:space="preserve">Important distinction — flag this clearly to whoever scopes the build: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 spec's Step 4/5 = classic AutoML: train 10 named models (Logistic/Ridge Regression, Decision Tree, Random Forest, Gradient Boosting, XGBoost, LightGBM, SVM, KNN, Neural Net), rank by classification/regression metrics on a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app's Predictions screen = single-model time-series forecasting: one active model, a forecast horizon in days, historical-vs-future chart. This is a different ML problem type (forecasting vs. tabular classification/regression), not a restyled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assume the leaderboard UI and the forecast UI are interchangeable skins on the same backend — they require different pipelines. Decide whether to build both, replace one with the other, or keep the original leaderboard and add model-explanation text only (cheapest, still valuable).</w:t>
      </w:r>
    </w:p>
    <w:p>
      <w:pPr>
        <w:pStyle w:val="Heading1"/>
        <w:spacing w:after="160" w:before="400"/>
      </w:pPr>
      <w:r>
        <w:t xml:space="preserve">4. Design system reference (extracted from frames)</w:t>
      </w:r>
    </w:p>
    <w:p>
      <w:pPr>
        <w:pStyle w:val="Heading2"/>
        <w:spacing w:after="120" w:before="280"/>
      </w:pPr>
      <w: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 use</w:t>
            </w:r>
          </w:p>
        </w:tc>
        <w:tc>
          <w:tcPr>
            <w:tcW w:type="dxa" w:w="260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hex</w:t>
            </w:r>
          </w:p>
        </w:tc>
        <w:tc>
          <w:tcPr>
            <w:tcW w:type="dxa" w:w="356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seen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#0B0F19 – #0E1220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Global app background (near-black navy); confirmed via page theme-color meta tag on the deployed build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Card / panel background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#151A2C – #1A2036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Metric cards, panels, table rows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Primary accent (brand)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#7C3AED – #8B5CF6 (violet/indigo)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Primary buttons, active nav item, chart accents, gradient CTAs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#4F46E5 (indigo) blended with violet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Gradient buttons ("Start Cleaning", "Start Free Trial")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Success / positive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#22C55E – #34D399 (green)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"Cleaned" tags, completeness bars, low-risk labels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#F59E0B (amber)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Missing-value badges, warning issue counts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Danger / critical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#EF4444 – #F87171 (red)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Outlier badges, Drop Column button, critical severity tags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#F5F5F7 (near white)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Headlines, primary body text on dark background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Text — muted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#8A8FA3 (gray)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Secondary/help text, captions, placeholder text</w:t>
            </w:r>
          </w:p>
        </w:tc>
      </w:tr>
    </w:tbl>
    <w:p>
      <w:pPr>
        <w:pStyle w:val="Heading2"/>
        <w:spacing w:after="120" w:before="280"/>
      </w:pPr>
      <w:r>
        <w:t xml:space="preserve">4.2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Headline / display: bold geometric sans-serif, wide letter-spacing on the "DATA SENSE" logotype specifically (looks like a display/tech font, letters spaced out — not the same font as body copy).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/ UI: clean grotesque sans-serif (rounded terminals visible on lowercase a/e) — consistent with something in the Inter / General Sans / Manrope family; exact font not verifiable from screenshots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metrics (stat cards): large bold weight, tight tracking, often gradient-filled text on hero stats (e.g. accuracy %, confidence rating).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confirming exact font family by inspecting computed styles in devtools if pixel-perfect matching matters; otherwise Inter (UI) + a wide-tracking display face for the logo is a safe close match.</w:t>
      </w:r>
    </w:p>
    <w:p>
      <w:pPr>
        <w:pStyle w:val="Heading2"/>
        <w:spacing w:after="120" w:before="280"/>
      </w:pPr>
      <w:r>
        <w:t xml:space="preserve">4.3 Visual language / effects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glassmorphism: translucent panels with subtle blur and thin light borders over the dark background (most visible on the login card over the brick photo).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Glow accents: soft violet glow/shadow around primary buttons and active nav pills.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Rounded corners throughout — cards, buttons, inputs all use a consistent medium radius (approx 12–16px).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 buttons (violet → indigo) reserved for primary/high-commitment actions: Start Cleaning, Start Training/Run Prediction Model, Start Free Trial.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badges are pill-shaped, color-coded by state (green = good/cleaned, amber = warning/in progress, red = critical/error).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Subtle dot-grid background texture on darker empty sections (visible behind cards in Feature Analysis, Visualization output panels).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top nav bar stays fixed across all authenticated routes, with the active section highlighted as a filled pill.</w:t>
      </w:r>
    </w:p>
    <w:p>
      <w:pPr>
        <w:pStyle w:val="Heading1"/>
        <w:spacing w:after="160" w:before="400"/>
      </w:pPr>
      <w:r>
        <w:t xml:space="preserve">5. Summary: what to add,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shd w:fill="2B25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Data Cleaning Studio (interactive, per-column actions, undo, pipeline history)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Biggest functional gap vs. spec; makes the product feel real instead of a demo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Model explanation text on results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Cheap to add, strong portfolio signal (shows interpretability)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AI-generated PDF report export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Turns analysis into a shareable artifact; good demo moment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Dataset library with persistence/resume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Mostly UI + a datasetId-based data model instead of job_id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Visualization X/Y + 6 chart types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Straightforward upgrade of an already-planned screen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Feature Analysis (redundancy + AI feature suggestions)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Good differentiator, moderate effort if correlation logic already exists for the AI-insights step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Business Risk Assessment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Low / optional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Scope creep into a different product angle — only add if you want that positioning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Time-series forecasting (Predictions)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Low / decide explicitly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Different ML problem type from the planned leaderboard — real engineering effort, don't fake it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Auth (login/register)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Low / optional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Only needed if this becomes multi-user; skip for a single-demo portfolio piece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Marketing landing page + pricing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Low / optional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Cosmetic wrapper, not functional — nice-to-have, not core</w:t>
            </w:r>
          </w:p>
        </w:tc>
      </w:tr>
    </w:tbl>
    <w:p>
      <w:pPr>
        <w:spacing w:before="400"/>
      </w:pPr>
      <w:r>
        <w:rPr>
          <w:i/>
          <w:iCs/>
          <w:color w:val="999999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59235c639cd14eb559f9344d8080003926c51c.png"/><Relationship Id="rId8" Type="http://schemas.openxmlformats.org/officeDocument/2006/relationships/image" Target="media/35da088c81b33d6e3acf80923e36298a5fcded06.png"/><Relationship Id="rId9" Type="http://schemas.openxmlformats.org/officeDocument/2006/relationships/image" Target="media/ebe224eb32daf11f5ae796d65d234afac03e6e4e.png"/><Relationship Id="rId10" Type="http://schemas.openxmlformats.org/officeDocument/2006/relationships/image" Target="media/2b9bdd8d7a96c7e8a6f7e8613b03712450261587.png"/><Relationship Id="rId11" Type="http://schemas.openxmlformats.org/officeDocument/2006/relationships/image" Target="media/95b9995e348bc13c0f074f1f8c977f0a9dd86512.png"/><Relationship Id="rId12" Type="http://schemas.openxmlformats.org/officeDocument/2006/relationships/image" Target="media/c99d9140e76ce42d1000558292e9778064ae0917.png"/><Relationship Id="rId13" Type="http://schemas.openxmlformats.org/officeDocument/2006/relationships/image" Target="media/548e0e6ac7342ce41c0a475288be012fc9b53ab6.png"/><Relationship Id="rId14" Type="http://schemas.openxmlformats.org/officeDocument/2006/relationships/image" Target="media/32b63992896fc303237c8a363967ee62166e9d66.png"/><Relationship Id="rId15" Type="http://schemas.openxmlformats.org/officeDocument/2006/relationships/image" Target="media/941827fdb1a496886d96e71133e1177fff861cc7.png"/><Relationship Id="rId16" Type="http://schemas.openxmlformats.org/officeDocument/2006/relationships/image" Target="media/7ee7ef192428f94d2d35007592b0efad890cdf40.png"/><Relationship Id="rId17" Type="http://schemas.openxmlformats.org/officeDocument/2006/relationships/image" Target="media/9e3afc2887a206613815f82602582c9d73d1268c.png"/><Relationship Id="rId18" Type="http://schemas.openxmlformats.org/officeDocument/2006/relationships/image" Target="media/b4025608602c57204fba4c20390371c8277a9b58.png"/><Relationship Id="rId19" Type="http://schemas.openxmlformats.org/officeDocument/2006/relationships/image" Target="media/e976c5bdb0d34ec3614bd2927d1f99e9d21352cd.png"/><Relationship Id="rId20" Type="http://schemas.openxmlformats.org/officeDocument/2006/relationships/image" Target="media/04475f4eb108271483858c250f5033e336a0c81a.png"/><Relationship Id="rId21" Type="http://schemas.openxmlformats.org/officeDocument/2006/relationships/image" Target="media/6270acf02278342f196e4df59c81ccd5a066053d.png"/><Relationship Id="rId22" Type="http://schemas.openxmlformats.org/officeDocument/2006/relationships/image" Target="media/145681c24d710f922ca044e005af33fb4bc828ae.png"/><Relationship Id="rId23" Type="http://schemas.openxmlformats.org/officeDocument/2006/relationships/image" Target="media/4ba6041499edc4c40a4c7977eba56e0b6cb01ea5.png"/><Relationship Id="rId24" Type="http://schemas.openxmlformats.org/officeDocument/2006/relationships/image" Target="media/6b18f0df83211615bcad50cc542b3a0e4d619766.png"/><Relationship Id="rId25" Type="http://schemas.openxmlformats.org/officeDocument/2006/relationships/image" Target="media/a18e26104259d54f9e84acdc71788a0f7d592cf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2026-07-23T07:03:28.897Z</dcterms:created>
  <dcterms:modified xsi:type="dcterms:W3CDTF">2026-07-23T07:03:28.908Z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