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b/>
          <w:bCs/>
          <w:color w:val="1B2A4A"/>
          <w:sz w:val="34"/>
          <w:szCs w:val="34"/>
        </w:rPr>
        <w:t xml:space="preserve">Exploratory Data Analysis (EDA) &amp; Visualization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B2A4A" w:color="auto" w:val="clear"/>
            <w:tcMar>
              <w:top w:type="dxa" w:w="140"/>
              <w:left w:type="dxa" w:w="180"/>
              <w:bottom w:type="dxa" w:w="140"/>
              <w:right w:type="dxa" w:w="180"/>
            </w:tcMar>
            <w:vAlign w:val="center"/>
          </w:tcPr>
          <w:p>
            <w:r>
              <w:rPr>
                <w:b/>
                <w:bCs/>
                <w:color w:val="FFFFFF"/>
                <w:sz w:val="26"/>
                <w:szCs w:val="26"/>
              </w:rPr>
              <w:t xml:space="preserve">1. Executive Summary &amp; Introduction</w:t>
            </w:r>
          </w:p>
        </w:tc>
      </w:tr>
    </w:tbl>
    <w:p>
      <w:pPr>
        <w:spacing w:after="120"/>
      </w:pPr>
    </w:p>
    <w:p>
      <w:pPr>
        <w:spacing w:after="80"/>
      </w:pPr>
      <w:r>
        <w:rPr>
          <w:color w:val="333333"/>
          <w:sz w:val="21"/>
          <w:szCs w:val="21"/>
        </w:rPr>
        <w:t xml:space="preserve">Exploratory Data Analysis (EDA) is a fundamental step in the data science pipeline. It serves as an initial investigation process designed to understand the underlying structure, detect anomalies, test statistical assumptions, and uncover patterns within raw data before applying formal predictive modeling.</w:t>
      </w:r>
    </w:p>
    <w:p>
      <w:pPr>
        <w:spacing w:after="80" w:before="200"/>
      </w:pPr>
      <w:r>
        <w:rPr>
          <w:b/>
          <w:bCs/>
          <w:color w:val="2E5AAC"/>
          <w:sz w:val="22"/>
          <w:szCs w:val="22"/>
        </w:rPr>
        <w:t xml:space="preserve">EDA Pipeline Overview</w:t>
      </w:r>
    </w:p>
    <w:p>
      <w:pPr>
        <w:spacing w:after="160" w:before="80"/>
        <w:jc w:val="center"/>
      </w:pPr>
      <w:r>
        <w:drawing>
          <wp:inline distT="0" distB="0" distL="0" distR="0">
            <wp:extent cx="2857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381500"/>
                    </a:xfrm>
                    <a:prstGeom prst="rect">
                      <a:avLst/>
                    </a:prstGeom>
                  </pic:spPr>
                </pic:pic>
              </a:graphicData>
            </a:graphic>
          </wp:inline>
        </w:drawing>
      </w:r>
    </w:p>
    <w:p>
      <w:pPr>
        <w:spacing w:after="80" w:before="200"/>
      </w:pPr>
      <w:r>
        <w:rPr>
          <w:b/>
          <w:bCs/>
          <w:color w:val="2E5AAC"/>
          <w:sz w:val="22"/>
          <w:szCs w:val="22"/>
        </w:rPr>
        <w:t xml:space="preserve">Strategic Objectives of EDA</w:t>
      </w:r>
    </w:p>
    <w:p>
      <w:pPr>
        <w:pStyle w:val="ListParagraph"/>
        <w:numPr>
          <w:ilvl w:val="0"/>
          <w:numId w:val="2"/>
        </w:numPr>
        <w:spacing w:after="60"/>
      </w:pPr>
      <w:r>
        <w:rPr>
          <w:color w:val="333333"/>
          <w:sz w:val="21"/>
          <w:szCs w:val="21"/>
        </w:rPr>
        <w:t xml:space="preserve">Assess Data Quality: Identify missing values, duplicate entries, inconsistent formats, and erroneous data points.</w:t>
      </w:r>
    </w:p>
    <w:p>
      <w:pPr>
        <w:pStyle w:val="ListParagraph"/>
        <w:numPr>
          <w:ilvl w:val="0"/>
          <w:numId w:val="2"/>
        </w:numPr>
        <w:spacing w:after="60"/>
      </w:pPr>
      <w:r>
        <w:rPr>
          <w:color w:val="333333"/>
          <w:sz w:val="21"/>
          <w:szCs w:val="21"/>
        </w:rPr>
        <w:t xml:space="preserve">Understand Variable Distributions: Evaluate central tendency, dispersion, skewness, and modality across numeric and categorical features.</w:t>
      </w:r>
    </w:p>
    <w:p>
      <w:pPr>
        <w:pStyle w:val="ListParagraph"/>
        <w:numPr>
          <w:ilvl w:val="0"/>
          <w:numId w:val="2"/>
        </w:numPr>
        <w:spacing w:after="60"/>
      </w:pPr>
      <w:r>
        <w:rPr>
          <w:color w:val="333333"/>
          <w:sz w:val="21"/>
          <w:szCs w:val="21"/>
        </w:rPr>
        <w:t xml:space="preserve">Evaluate Relationships: Uncover correlations, feature dependencies, and interaction dynamics between target variables and predictors.</w:t>
      </w:r>
    </w:p>
    <w:p>
      <w:pPr>
        <w:pStyle w:val="ListParagraph"/>
        <w:numPr>
          <w:ilvl w:val="0"/>
          <w:numId w:val="2"/>
        </w:numPr>
        <w:spacing w:after="60"/>
      </w:pPr>
      <w:r>
        <w:rPr>
          <w:color w:val="333333"/>
          <w:sz w:val="21"/>
          <w:szCs w:val="21"/>
        </w:rPr>
        <w:t xml:space="preserve">Inform Feature Engineering: Decide which transformations (e.g., log scaling, encoding, binning) will optimize downstream model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B2A4A" w:color="auto" w:val="clear"/>
            <w:tcMar>
              <w:top w:type="dxa" w:w="140"/>
              <w:left w:type="dxa" w:w="180"/>
              <w:bottom w:type="dxa" w:w="140"/>
              <w:right w:type="dxa" w:w="180"/>
            </w:tcMar>
            <w:vAlign w:val="center"/>
          </w:tcPr>
          <w:p>
            <w:r>
              <w:rPr>
                <w:b/>
                <w:bCs/>
                <w:color w:val="FFFFFF"/>
                <w:sz w:val="26"/>
                <w:szCs w:val="26"/>
              </w:rPr>
              <w:t xml:space="preserve">2. Taxonomy of Data Types</w:t>
            </w:r>
          </w:p>
        </w:tc>
      </w:tr>
    </w:tbl>
    <w:p>
      <w:pPr>
        <w:spacing w:after="120"/>
      </w:pPr>
    </w:p>
    <w:p>
      <w:pPr>
        <w:spacing w:after="80"/>
      </w:pPr>
      <w:r>
        <w:rPr>
          <w:color w:val="333333"/>
          <w:sz w:val="21"/>
          <w:szCs w:val="21"/>
        </w:rPr>
        <w:t xml:space="preserve">A robust EDA process begins by categorizing features into explicit data types, as each type dictates specific handling and visualization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500"/>
        <w:gridCol w:w="3280"/>
      </w:tblGrid>
      <w:tr>
        <w:trPr>
          <w:tblHeader/>
        </w:trPr>
        <w:tc>
          <w:tcPr>
            <w:tcW w:type="dxa" w:w="1600"/>
            <w:shd w:fill="2E5AAC" w:color="auto" w:val="clear"/>
            <w:tcMar>
              <w:top w:type="dxa" w:w="100"/>
              <w:left w:type="dxa" w:w="120"/>
              <w:bottom w:type="dxa" w:w="100"/>
              <w:right w:type="dxa" w:w="120"/>
            </w:tcMar>
            <w:vAlign w:val="center"/>
          </w:tcPr>
          <w:p>
            <w:r>
              <w:rPr>
                <w:b/>
                <w:bCs/>
                <w:color w:val="FFFFFF"/>
                <w:sz w:val="18"/>
                <w:szCs w:val="18"/>
              </w:rPr>
              <w:t xml:space="preserve">Category</w:t>
            </w:r>
          </w:p>
        </w:tc>
        <w:tc>
          <w:tcPr>
            <w:tcW w:type="dxa" w:w="1900"/>
            <w:shd w:fill="2E5AAC" w:color="auto" w:val="clear"/>
            <w:tcMar>
              <w:top w:type="dxa" w:w="100"/>
              <w:left w:type="dxa" w:w="120"/>
              <w:bottom w:type="dxa" w:w="100"/>
              <w:right w:type="dxa" w:w="120"/>
            </w:tcMar>
            <w:vAlign w:val="center"/>
          </w:tcPr>
          <w:p>
            <w:r>
              <w:rPr>
                <w:b/>
                <w:bCs/>
                <w:color w:val="FFFFFF"/>
                <w:sz w:val="18"/>
                <w:szCs w:val="18"/>
              </w:rPr>
              <w:t xml:space="preserve">Sub-type</w:t>
            </w:r>
          </w:p>
        </w:tc>
        <w:tc>
          <w:tcPr>
            <w:tcW w:type="dxa" w:w="3500"/>
            <w:shd w:fill="2E5AAC" w:color="auto" w:val="clear"/>
            <w:tcMar>
              <w:top w:type="dxa" w:w="100"/>
              <w:left w:type="dxa" w:w="120"/>
              <w:bottom w:type="dxa" w:w="100"/>
              <w:right w:type="dxa" w:w="120"/>
            </w:tcMar>
            <w:vAlign w:val="center"/>
          </w:tcPr>
          <w:p>
            <w:r>
              <w:rPr>
                <w:b/>
                <w:bCs/>
                <w:color w:val="FFFFFF"/>
                <w:sz w:val="18"/>
                <w:szCs w:val="18"/>
              </w:rPr>
              <w:t xml:space="preserve">Examples</w:t>
            </w:r>
          </w:p>
        </w:tc>
        <w:tc>
          <w:tcPr>
            <w:tcW w:type="dxa" w:w="3280"/>
            <w:shd w:fill="2E5AAC" w:color="auto" w:val="clear"/>
            <w:tcMar>
              <w:top w:type="dxa" w:w="100"/>
              <w:left w:type="dxa" w:w="120"/>
              <w:bottom w:type="dxa" w:w="100"/>
              <w:right w:type="dxa" w:w="120"/>
            </w:tcMar>
            <w:vAlign w:val="center"/>
          </w:tcPr>
          <w:p>
            <w:r>
              <w:rPr>
                <w:b/>
                <w:bCs/>
                <w:color w:val="FFFFFF"/>
                <w:sz w:val="18"/>
                <w:szCs w:val="18"/>
              </w:rPr>
              <w:t xml:space="preserve">Preferred Summary Metrics</w:t>
            </w:r>
          </w:p>
        </w:tc>
      </w:tr>
      <w:tr>
        <w:tc>
          <w:tcPr>
            <w:tcW w:type="dxa" w:w="1600"/>
            <w:shd w:fill="FFFFFF" w:color="auto" w:val="clear"/>
            <w:tcMar>
              <w:top w:type="dxa" w:w="90"/>
              <w:left w:type="dxa" w:w="120"/>
              <w:bottom w:type="dxa" w:w="90"/>
              <w:right w:type="dxa" w:w="120"/>
            </w:tcMar>
            <w:vAlign w:val="center"/>
          </w:tcPr>
          <w:p>
            <w:r>
              <w:rPr>
                <w:color w:val="333333"/>
                <w:sz w:val="18"/>
                <w:szCs w:val="18"/>
              </w:rPr>
              <w:t xml:space="preserve">Numerical</w:t>
            </w:r>
          </w:p>
        </w:tc>
        <w:tc>
          <w:tcPr>
            <w:tcW w:type="dxa" w:w="1900"/>
            <w:shd w:fill="FFFFFF" w:color="auto" w:val="clear"/>
            <w:tcMar>
              <w:top w:type="dxa" w:w="90"/>
              <w:left w:type="dxa" w:w="120"/>
              <w:bottom w:type="dxa" w:w="90"/>
              <w:right w:type="dxa" w:w="120"/>
            </w:tcMar>
            <w:vAlign w:val="center"/>
          </w:tcPr>
          <w:p>
            <w:r>
              <w:rPr>
                <w:color w:val="333333"/>
                <w:sz w:val="18"/>
                <w:szCs w:val="18"/>
              </w:rPr>
              <w:t xml:space="preserve">Continuous</w:t>
            </w:r>
          </w:p>
        </w:tc>
        <w:tc>
          <w:tcPr>
            <w:tcW w:type="dxa" w:w="3500"/>
            <w:shd w:fill="FFFFFF" w:color="auto" w:val="clear"/>
            <w:tcMar>
              <w:top w:type="dxa" w:w="90"/>
              <w:left w:type="dxa" w:w="120"/>
              <w:bottom w:type="dxa" w:w="90"/>
              <w:right w:type="dxa" w:w="120"/>
            </w:tcMar>
            <w:vAlign w:val="center"/>
          </w:tcPr>
          <w:p>
            <w:r>
              <w:rPr>
                <w:color w:val="333333"/>
                <w:sz w:val="18"/>
                <w:szCs w:val="18"/>
              </w:rPr>
              <w:t xml:space="preserve">Height, Temperature, Income</w:t>
            </w:r>
          </w:p>
        </w:tc>
        <w:tc>
          <w:tcPr>
            <w:tcW w:type="dxa" w:w="3280"/>
            <w:shd w:fill="FFFFFF" w:color="auto" w:val="clear"/>
            <w:tcMar>
              <w:top w:type="dxa" w:w="90"/>
              <w:left w:type="dxa" w:w="120"/>
              <w:bottom w:type="dxa" w:w="90"/>
              <w:right w:type="dxa" w:w="120"/>
            </w:tcMar>
            <w:vAlign w:val="center"/>
          </w:tcPr>
          <w:p>
            <w:r>
              <w:rPr>
                <w:color w:val="333333"/>
                <w:sz w:val="18"/>
                <w:szCs w:val="18"/>
              </w:rPr>
              <w:t xml:space="preserve">Mean, Std Dev, Median, IQR, Skewness</w:t>
            </w:r>
          </w:p>
        </w:tc>
      </w:tr>
      <w:tr>
        <w:tc>
          <w:tcPr>
            <w:tcW w:type="dxa" w:w="1600"/>
            <w:shd w:fill="F2F5FA" w:color="auto" w:val="clear"/>
            <w:tcMar>
              <w:top w:type="dxa" w:w="90"/>
              <w:left w:type="dxa" w:w="120"/>
              <w:bottom w:type="dxa" w:w="90"/>
              <w:right w:type="dxa" w:w="120"/>
            </w:tcMar>
            <w:vAlign w:val="center"/>
          </w:tcPr>
          <w:p>
            <w:r>
              <w:rPr>
                <w:color w:val="333333"/>
                <w:sz w:val="18"/>
                <w:szCs w:val="18"/>
              </w:rPr>
              <w:t xml:space="preserve">Numerical</w:t>
            </w:r>
          </w:p>
        </w:tc>
        <w:tc>
          <w:tcPr>
            <w:tcW w:type="dxa" w:w="1900"/>
            <w:shd w:fill="F2F5FA" w:color="auto" w:val="clear"/>
            <w:tcMar>
              <w:top w:type="dxa" w:w="90"/>
              <w:left w:type="dxa" w:w="120"/>
              <w:bottom w:type="dxa" w:w="90"/>
              <w:right w:type="dxa" w:w="120"/>
            </w:tcMar>
            <w:vAlign w:val="center"/>
          </w:tcPr>
          <w:p>
            <w:r>
              <w:rPr>
                <w:color w:val="333333"/>
                <w:sz w:val="18"/>
                <w:szCs w:val="18"/>
              </w:rPr>
              <w:t xml:space="preserve">Discrete</w:t>
            </w:r>
          </w:p>
        </w:tc>
        <w:tc>
          <w:tcPr>
            <w:tcW w:type="dxa" w:w="3500"/>
            <w:shd w:fill="F2F5FA" w:color="auto" w:val="clear"/>
            <w:tcMar>
              <w:top w:type="dxa" w:w="90"/>
              <w:left w:type="dxa" w:w="120"/>
              <w:bottom w:type="dxa" w:w="90"/>
              <w:right w:type="dxa" w:w="120"/>
            </w:tcMar>
            <w:vAlign w:val="center"/>
          </w:tcPr>
          <w:p>
            <w:r>
              <w:rPr>
                <w:color w:val="333333"/>
                <w:sz w:val="18"/>
                <w:szCs w:val="18"/>
              </w:rPr>
              <w:t xml:space="preserve">Patient counts, Web page visits</w:t>
            </w:r>
          </w:p>
        </w:tc>
        <w:tc>
          <w:tcPr>
            <w:tcW w:type="dxa" w:w="3280"/>
            <w:shd w:fill="F2F5FA" w:color="auto" w:val="clear"/>
            <w:tcMar>
              <w:top w:type="dxa" w:w="90"/>
              <w:left w:type="dxa" w:w="120"/>
              <w:bottom w:type="dxa" w:w="90"/>
              <w:right w:type="dxa" w:w="120"/>
            </w:tcMar>
            <w:vAlign w:val="center"/>
          </w:tcPr>
          <w:p>
            <w:r>
              <w:rPr>
                <w:color w:val="333333"/>
                <w:sz w:val="18"/>
                <w:szCs w:val="18"/>
              </w:rPr>
              <w:t xml:space="preserve">Median, Mode, Range, Frequency Tables</w:t>
            </w:r>
          </w:p>
        </w:tc>
      </w:tr>
      <w:tr>
        <w:tc>
          <w:tcPr>
            <w:tcW w:type="dxa" w:w="1600"/>
            <w:shd w:fill="FFFFFF" w:color="auto" w:val="clear"/>
            <w:tcMar>
              <w:top w:type="dxa" w:w="90"/>
              <w:left w:type="dxa" w:w="120"/>
              <w:bottom w:type="dxa" w:w="90"/>
              <w:right w:type="dxa" w:w="120"/>
            </w:tcMar>
            <w:vAlign w:val="center"/>
          </w:tcPr>
          <w:p>
            <w:r>
              <w:rPr>
                <w:color w:val="333333"/>
                <w:sz w:val="18"/>
                <w:szCs w:val="18"/>
              </w:rPr>
              <w:t xml:space="preserve">Categorical</w:t>
            </w:r>
          </w:p>
        </w:tc>
        <w:tc>
          <w:tcPr>
            <w:tcW w:type="dxa" w:w="1900"/>
            <w:shd w:fill="FFFFFF" w:color="auto" w:val="clear"/>
            <w:tcMar>
              <w:top w:type="dxa" w:w="90"/>
              <w:left w:type="dxa" w:w="120"/>
              <w:bottom w:type="dxa" w:w="90"/>
              <w:right w:type="dxa" w:w="120"/>
            </w:tcMar>
            <w:vAlign w:val="center"/>
          </w:tcPr>
          <w:p>
            <w:r>
              <w:rPr>
                <w:color w:val="333333"/>
                <w:sz w:val="18"/>
                <w:szCs w:val="18"/>
              </w:rPr>
              <w:t xml:space="preserve">Nominal</w:t>
            </w:r>
          </w:p>
        </w:tc>
        <w:tc>
          <w:tcPr>
            <w:tcW w:type="dxa" w:w="3500"/>
            <w:shd w:fill="FFFFFF" w:color="auto" w:val="clear"/>
            <w:tcMar>
              <w:top w:type="dxa" w:w="90"/>
              <w:left w:type="dxa" w:w="120"/>
              <w:bottom w:type="dxa" w:w="90"/>
              <w:right w:type="dxa" w:w="120"/>
            </w:tcMar>
            <w:vAlign w:val="center"/>
          </w:tcPr>
          <w:p>
            <w:r>
              <w:rPr>
                <w:color w:val="333333"/>
                <w:sz w:val="18"/>
                <w:szCs w:val="18"/>
              </w:rPr>
              <w:t xml:space="preserve">Country, Eye color, Marital status</w:t>
            </w:r>
          </w:p>
        </w:tc>
        <w:tc>
          <w:tcPr>
            <w:tcW w:type="dxa" w:w="3280"/>
            <w:shd w:fill="FFFFFF" w:color="auto" w:val="clear"/>
            <w:tcMar>
              <w:top w:type="dxa" w:w="90"/>
              <w:left w:type="dxa" w:w="120"/>
              <w:bottom w:type="dxa" w:w="90"/>
              <w:right w:type="dxa" w:w="120"/>
            </w:tcMar>
            <w:vAlign w:val="center"/>
          </w:tcPr>
          <w:p>
            <w:r>
              <w:rPr>
                <w:color w:val="333333"/>
                <w:sz w:val="18"/>
                <w:szCs w:val="18"/>
              </w:rPr>
              <w:t xml:space="preserve">Mode, Relative Frequency (%)</w:t>
            </w:r>
          </w:p>
        </w:tc>
      </w:tr>
      <w:tr>
        <w:tc>
          <w:tcPr>
            <w:tcW w:type="dxa" w:w="1600"/>
            <w:shd w:fill="F2F5FA" w:color="auto" w:val="clear"/>
            <w:tcMar>
              <w:top w:type="dxa" w:w="90"/>
              <w:left w:type="dxa" w:w="120"/>
              <w:bottom w:type="dxa" w:w="90"/>
              <w:right w:type="dxa" w:w="120"/>
            </w:tcMar>
            <w:vAlign w:val="center"/>
          </w:tcPr>
          <w:p>
            <w:r>
              <w:rPr>
                <w:color w:val="333333"/>
                <w:sz w:val="18"/>
                <w:szCs w:val="18"/>
              </w:rPr>
              <w:t xml:space="preserve">Categorical</w:t>
            </w:r>
          </w:p>
        </w:tc>
        <w:tc>
          <w:tcPr>
            <w:tcW w:type="dxa" w:w="1900"/>
            <w:shd w:fill="F2F5FA" w:color="auto" w:val="clear"/>
            <w:tcMar>
              <w:top w:type="dxa" w:w="90"/>
              <w:left w:type="dxa" w:w="120"/>
              <w:bottom w:type="dxa" w:w="90"/>
              <w:right w:type="dxa" w:w="120"/>
            </w:tcMar>
            <w:vAlign w:val="center"/>
          </w:tcPr>
          <w:p>
            <w:r>
              <w:rPr>
                <w:color w:val="333333"/>
                <w:sz w:val="18"/>
                <w:szCs w:val="18"/>
              </w:rPr>
              <w:t xml:space="preserve">Ordinal</w:t>
            </w:r>
          </w:p>
        </w:tc>
        <w:tc>
          <w:tcPr>
            <w:tcW w:type="dxa" w:w="3500"/>
            <w:shd w:fill="F2F5FA" w:color="auto" w:val="clear"/>
            <w:tcMar>
              <w:top w:type="dxa" w:w="90"/>
              <w:left w:type="dxa" w:w="120"/>
              <w:bottom w:type="dxa" w:w="90"/>
              <w:right w:type="dxa" w:w="120"/>
            </w:tcMar>
            <w:vAlign w:val="center"/>
          </w:tcPr>
          <w:p>
            <w:r>
              <w:rPr>
                <w:color w:val="333333"/>
                <w:sz w:val="18"/>
                <w:szCs w:val="18"/>
              </w:rPr>
              <w:t xml:space="preserve">Education level (BSc, MSc, PhD), Rating (1-5)</w:t>
            </w:r>
          </w:p>
        </w:tc>
        <w:tc>
          <w:tcPr>
            <w:tcW w:type="dxa" w:w="3280"/>
            <w:shd w:fill="F2F5FA" w:color="auto" w:val="clear"/>
            <w:tcMar>
              <w:top w:type="dxa" w:w="90"/>
              <w:left w:type="dxa" w:w="120"/>
              <w:bottom w:type="dxa" w:w="90"/>
              <w:right w:type="dxa" w:w="120"/>
            </w:tcMar>
            <w:vAlign w:val="center"/>
          </w:tcPr>
          <w:p>
            <w:r>
              <w:rPr>
                <w:color w:val="333333"/>
                <w:sz w:val="18"/>
                <w:szCs w:val="18"/>
              </w:rPr>
              <w:t xml:space="preserve">Median, Mode, Quantiles</w:t>
            </w:r>
          </w:p>
        </w:tc>
      </w:tr>
      <w:tr>
        <w:tc>
          <w:tcPr>
            <w:tcW w:type="dxa" w:w="1600"/>
            <w:shd w:fill="FFFFFF" w:color="auto" w:val="clear"/>
            <w:tcMar>
              <w:top w:type="dxa" w:w="90"/>
              <w:left w:type="dxa" w:w="120"/>
              <w:bottom w:type="dxa" w:w="90"/>
              <w:right w:type="dxa" w:w="120"/>
            </w:tcMar>
            <w:vAlign w:val="center"/>
          </w:tcPr>
          <w:p>
            <w:r>
              <w:rPr>
                <w:color w:val="333333"/>
                <w:sz w:val="18"/>
                <w:szCs w:val="18"/>
              </w:rPr>
              <w:t xml:space="preserve">Temporal / Spatial</w:t>
            </w:r>
          </w:p>
        </w:tc>
        <w:tc>
          <w:tcPr>
            <w:tcW w:type="dxa" w:w="1900"/>
            <w:shd w:fill="FFFFFF" w:color="auto" w:val="clear"/>
            <w:tcMar>
              <w:top w:type="dxa" w:w="90"/>
              <w:left w:type="dxa" w:w="120"/>
              <w:bottom w:type="dxa" w:w="90"/>
              <w:right w:type="dxa" w:w="120"/>
            </w:tcMar>
            <w:vAlign w:val="center"/>
          </w:tcPr>
          <w:p>
            <w:r>
              <w:rPr>
                <w:color w:val="333333"/>
                <w:sz w:val="18"/>
                <w:szCs w:val="18"/>
              </w:rPr>
              <w:t xml:space="preserve">Datetime / Coordinates</w:t>
            </w:r>
          </w:p>
        </w:tc>
        <w:tc>
          <w:tcPr>
            <w:tcW w:type="dxa" w:w="3500"/>
            <w:shd w:fill="FFFFFF" w:color="auto" w:val="clear"/>
            <w:tcMar>
              <w:top w:type="dxa" w:w="90"/>
              <w:left w:type="dxa" w:w="120"/>
              <w:bottom w:type="dxa" w:w="90"/>
              <w:right w:type="dxa" w:w="120"/>
            </w:tcMar>
            <w:vAlign w:val="center"/>
          </w:tcPr>
          <w:p>
            <w:r>
              <w:rPr>
                <w:color w:val="333333"/>
                <w:sz w:val="18"/>
                <w:szCs w:val="18"/>
              </w:rPr>
              <w:t xml:space="preserve">Timestamp, GPS Lat/Long</w:t>
            </w:r>
          </w:p>
        </w:tc>
        <w:tc>
          <w:tcPr>
            <w:tcW w:type="dxa" w:w="3280"/>
            <w:shd w:fill="FFFFFF" w:color="auto" w:val="clear"/>
            <w:tcMar>
              <w:top w:type="dxa" w:w="90"/>
              <w:left w:type="dxa" w:w="120"/>
              <w:bottom w:type="dxa" w:w="90"/>
              <w:right w:type="dxa" w:w="120"/>
            </w:tcMar>
            <w:vAlign w:val="center"/>
          </w:tcPr>
          <w:p>
            <w:r>
              <w:rPr>
                <w:color w:val="333333"/>
                <w:sz w:val="18"/>
                <w:szCs w:val="18"/>
              </w:rPr>
              <w:t xml:space="preserve">Min/Max Range, Aggregated Freq. by Interval</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B2A4A" w:color="auto" w:val="clear"/>
            <w:tcMar>
              <w:top w:type="dxa" w:w="140"/>
              <w:left w:type="dxa" w:w="180"/>
              <w:bottom w:type="dxa" w:w="140"/>
              <w:right w:type="dxa" w:w="180"/>
            </w:tcMar>
            <w:vAlign w:val="center"/>
          </w:tcPr>
          <w:p>
            <w:r>
              <w:rPr>
                <w:b/>
                <w:bCs/>
                <w:color w:val="FFFFFF"/>
                <w:sz w:val="26"/>
                <w:szCs w:val="26"/>
              </w:rPr>
              <w:t xml:space="preserve">3. Data Exploration &amp; Preparation Techniques</w:t>
            </w:r>
          </w:p>
        </w:tc>
      </w:tr>
    </w:tbl>
    <w:p>
      <w:pPr>
        <w:spacing w:after="120"/>
      </w:pPr>
    </w:p>
    <w:p>
      <w:pPr>
        <w:spacing w:after="80" w:before="200"/>
      </w:pPr>
      <w:r>
        <w:rPr>
          <w:b/>
          <w:bCs/>
          <w:color w:val="2E5AAC"/>
          <w:sz w:val="22"/>
          <w:szCs w:val="22"/>
        </w:rPr>
        <w:t xml:space="preserve">3.1 Missing Data Management</w:t>
      </w:r>
    </w:p>
    <w:p>
      <w:pPr>
        <w:spacing w:after="80"/>
      </w:pPr>
      <w:r>
        <w:rPr>
          <w:color w:val="333333"/>
          <w:sz w:val="21"/>
          <w:szCs w:val="21"/>
        </w:rPr>
        <w:t xml:space="preserve">Missing data can significantly distort modeling results if handled incorrectly. The underlying mechanism determines the appropriate treatment.</w:t>
      </w:r>
    </w:p>
    <w:p>
      <w:pPr>
        <w:spacing w:after="80" w:before="200"/>
      </w:pPr>
      <w:r>
        <w:rPr>
          <w:b/>
          <w:bCs/>
          <w:color w:val="2E5AAC"/>
          <w:sz w:val="20"/>
          <w:szCs w:val="20"/>
        </w:rPr>
        <w:t xml:space="preserve">Classify Missingness Mechanism</w:t>
      </w:r>
    </w:p>
    <w:p>
      <w:pPr>
        <w:pStyle w:val="ListParagraph"/>
        <w:numPr>
          <w:ilvl w:val="0"/>
          <w:numId w:val="2"/>
        </w:numPr>
        <w:spacing w:after="60"/>
      </w:pPr>
      <w:r>
        <w:rPr>
          <w:color w:val="333333"/>
          <w:sz w:val="21"/>
          <w:szCs w:val="21"/>
        </w:rPr>
        <w:t xml:space="preserve">Missing Completely at Random (MCAR): Missingness is unrelated to any variable in the dataset.</w:t>
      </w:r>
    </w:p>
    <w:p>
      <w:pPr>
        <w:pStyle w:val="ListParagraph"/>
        <w:numPr>
          <w:ilvl w:val="0"/>
          <w:numId w:val="2"/>
        </w:numPr>
        <w:spacing w:after="60"/>
      </w:pPr>
      <w:r>
        <w:rPr>
          <w:color w:val="333333"/>
          <w:sz w:val="21"/>
          <w:szCs w:val="21"/>
        </w:rPr>
        <w:t xml:space="preserve">Missing at Random (MAR): Missingness depends on observed data but not on the missing data itself.</w:t>
      </w:r>
    </w:p>
    <w:p>
      <w:pPr>
        <w:pStyle w:val="ListParagraph"/>
        <w:numPr>
          <w:ilvl w:val="0"/>
          <w:numId w:val="2"/>
        </w:numPr>
        <w:spacing w:after="60"/>
      </w:pPr>
      <w:r>
        <w:rPr>
          <w:color w:val="333333"/>
          <w:sz w:val="21"/>
          <w:szCs w:val="21"/>
        </w:rPr>
        <w:t xml:space="preserve">Missing Not at Random (MNAR): Missingness depends on the unobserved value itself (requires domain-specific modeling).</w:t>
      </w:r>
    </w:p>
    <w:p>
      <w:pPr>
        <w:spacing w:after="80" w:before="200"/>
      </w:pPr>
      <w:r>
        <w:rPr>
          <w:b/>
          <w:bCs/>
          <w:color w:val="2E5AAC"/>
          <w:sz w:val="20"/>
          <w:szCs w:val="20"/>
        </w:rPr>
        <w:t xml:space="preserve">Treatment Protocol</w:t>
      </w:r>
    </w:p>
    <w:p>
      <w:pPr>
        <w:pStyle w:val="ListParagraph"/>
        <w:numPr>
          <w:ilvl w:val="0"/>
          <w:numId w:val="2"/>
        </w:numPr>
        <w:spacing w:after="60"/>
      </w:pPr>
      <w:r>
        <w:rPr>
          <w:color w:val="333333"/>
          <w:sz w:val="21"/>
          <w:szCs w:val="21"/>
        </w:rPr>
        <w:t xml:space="preserve">Threshold Dropping: Features missing more than 40-50% of values are dropped unless domain-critical.</w:t>
      </w:r>
    </w:p>
    <w:p>
      <w:pPr>
        <w:pStyle w:val="ListParagraph"/>
        <w:numPr>
          <w:ilvl w:val="0"/>
          <w:numId w:val="2"/>
        </w:numPr>
        <w:spacing w:after="60"/>
      </w:pPr>
      <w:r>
        <w:rPr>
          <w:color w:val="333333"/>
          <w:sz w:val="21"/>
          <w:szCs w:val="21"/>
        </w:rPr>
        <w:t xml:space="preserve">Numerical Imputation - Normal distributions: Mean Imputation.</w:t>
      </w:r>
    </w:p>
    <w:p>
      <w:pPr>
        <w:pStyle w:val="ListParagraph"/>
        <w:numPr>
          <w:ilvl w:val="0"/>
          <w:numId w:val="2"/>
        </w:numPr>
        <w:spacing w:after="60"/>
      </w:pPr>
      <w:r>
        <w:rPr>
          <w:color w:val="333333"/>
          <w:sz w:val="21"/>
          <w:szCs w:val="21"/>
        </w:rPr>
        <w:t xml:space="preserve">Numerical Imputation - Skewed distributions: Median Imputation.</w:t>
      </w:r>
    </w:p>
    <w:p>
      <w:pPr>
        <w:pStyle w:val="ListParagraph"/>
        <w:numPr>
          <w:ilvl w:val="0"/>
          <w:numId w:val="2"/>
        </w:numPr>
        <w:spacing w:after="60"/>
      </w:pPr>
      <w:r>
        <w:rPr>
          <w:color w:val="333333"/>
          <w:sz w:val="21"/>
          <w:szCs w:val="21"/>
        </w:rPr>
        <w:t xml:space="preserve">Numerical Imputation - Complex correlations: K-Nearest Neighbors (KNN) or Multivariate Imputation by Chained Equations (MICE).</w:t>
      </w:r>
    </w:p>
    <w:p>
      <w:pPr>
        <w:pStyle w:val="ListParagraph"/>
        <w:numPr>
          <w:ilvl w:val="0"/>
          <w:numId w:val="2"/>
        </w:numPr>
        <w:spacing w:after="60"/>
      </w:pPr>
      <w:r>
        <w:rPr>
          <w:color w:val="333333"/>
          <w:sz w:val="21"/>
          <w:szCs w:val="21"/>
        </w:rPr>
        <w:t xml:space="preserve">Categorical Imputation: Mode imputation or setting missing entries as a distinct categorical level ("Unknown").</w:t>
      </w:r>
    </w:p>
    <w:p>
      <w:pPr>
        <w:spacing w:after="80" w:before="200"/>
      </w:pPr>
      <w:r>
        <w:rPr>
          <w:b/>
          <w:bCs/>
          <w:color w:val="2E5AAC"/>
          <w:sz w:val="22"/>
          <w:szCs w:val="22"/>
        </w:rPr>
        <w:t xml:space="preserve">3.2 Outlier Detection &amp; Mitigation</w:t>
      </w:r>
    </w:p>
    <w:p>
      <w:pPr>
        <w:spacing w:after="80"/>
      </w:pPr>
      <w:r>
        <w:rPr>
          <w:color w:val="333333"/>
          <w:sz w:val="21"/>
          <w:szCs w:val="21"/>
        </w:rPr>
        <w:t xml:space="preserve">Outliers can bias statistical estimates such as the mean and variance.</w:t>
      </w:r>
    </w:p>
    <w:p>
      <w:pPr>
        <w:spacing w:after="80" w:before="200"/>
      </w:pPr>
      <w:r>
        <w:rPr>
          <w:b/>
          <w:bCs/>
          <w:color w:val="2E5AAC"/>
          <w:sz w:val="20"/>
          <w:szCs w:val="20"/>
        </w:rPr>
        <w:t xml:space="preserve">Detection Methods</w:t>
      </w:r>
    </w:p>
    <w:p>
      <w:pPr>
        <w:spacing w:after="80"/>
      </w:pPr>
      <w:r>
        <w:rPr>
          <w:i w:val="false"/>
          <w:iCs w:val="false"/>
          <w:color w:val="333333"/>
          <w:sz w:val="21"/>
          <w:szCs w:val="21"/>
        </w:rPr>
        <w:t xml:space="preserve">Interquartile Range (IQR) Rule — for non-normally distributed data, a point x is flagged as an outlier if:</w:t>
      </w:r>
    </w:p>
    <w:p>
      <w:pPr>
        <w:spacing w:after="100" w:before="60"/>
        <w:jc w:val="center"/>
      </w:pPr>
      <w:r>
        <w:rPr>
          <w:rFonts w:ascii="Cambria Math" w:cs="Cambria Math" w:eastAsia="Cambria Math" w:hAnsi="Cambria Math"/>
          <w:i/>
          <w:iCs/>
          <w:color w:val="1B2A4A"/>
          <w:sz w:val="22"/>
          <w:szCs w:val="22"/>
        </w:rPr>
        <w:t xml:space="preserve">IQR = Q3 − Q1</w:t>
      </w:r>
    </w:p>
    <w:p>
      <w:pPr>
        <w:spacing w:after="100" w:before="60"/>
        <w:jc w:val="center"/>
      </w:pPr>
      <w:r>
        <w:rPr>
          <w:rFonts w:ascii="Cambria Math" w:cs="Cambria Math" w:eastAsia="Cambria Math" w:hAnsi="Cambria Math"/>
          <w:i/>
          <w:iCs/>
          <w:color w:val="1B2A4A"/>
          <w:sz w:val="22"/>
          <w:szCs w:val="22"/>
        </w:rPr>
        <w:t xml:space="preserve">x &lt; Q1 − 1.5 × IQR   or   x &gt; Q3 + 1.5 × IQR</w:t>
      </w:r>
    </w:p>
    <w:p>
      <w:pPr>
        <w:spacing w:after="80"/>
      </w:pPr>
      <w:r>
        <w:rPr>
          <w:color w:val="333333"/>
          <w:sz w:val="21"/>
          <w:szCs w:val="21"/>
        </w:rPr>
        <w:t xml:space="preserve">Z-Score Method — for normally distributed features, data points with an absolute Z-score greater than 3 are flagged:</w:t>
      </w:r>
    </w:p>
    <w:p>
      <w:pPr>
        <w:spacing w:after="100" w:before="60"/>
        <w:jc w:val="center"/>
      </w:pPr>
      <w:r>
        <w:rPr>
          <w:rFonts w:ascii="Cambria Math" w:cs="Cambria Math" w:eastAsia="Cambria Math" w:hAnsi="Cambria Math"/>
          <w:i/>
          <w:iCs/>
          <w:color w:val="1B2A4A"/>
          <w:sz w:val="22"/>
          <w:szCs w:val="22"/>
        </w:rPr>
        <w:t xml:space="preserve">Z = (x − μ) / σ</w:t>
      </w:r>
    </w:p>
    <w:p>
      <w:pPr>
        <w:spacing w:after="80" w:before="200"/>
      </w:pPr>
      <w:r>
        <w:rPr>
          <w:b/>
          <w:bCs/>
          <w:color w:val="2E5AAC"/>
          <w:sz w:val="20"/>
          <w:szCs w:val="20"/>
        </w:rPr>
        <w:t xml:space="preserve">Mitigation Options</w:t>
      </w:r>
    </w:p>
    <w:p>
      <w:pPr>
        <w:pStyle w:val="ListParagraph"/>
        <w:numPr>
          <w:ilvl w:val="0"/>
          <w:numId w:val="2"/>
        </w:numPr>
        <w:spacing w:after="60"/>
      </w:pPr>
      <w:r>
        <w:rPr>
          <w:color w:val="333333"/>
          <w:sz w:val="21"/>
          <w:szCs w:val="21"/>
        </w:rPr>
        <w:t xml:space="preserve">Winsorization (Capping): Clip values at the 1st and 99th percentiles to preserve sample size while muting extreme values.</w:t>
      </w:r>
    </w:p>
    <w:p>
      <w:pPr>
        <w:pStyle w:val="ListParagraph"/>
        <w:numPr>
          <w:ilvl w:val="0"/>
          <w:numId w:val="2"/>
        </w:numPr>
        <w:spacing w:after="60"/>
      </w:pPr>
      <w:r>
        <w:rPr>
          <w:color w:val="333333"/>
          <w:sz w:val="21"/>
          <w:szCs w:val="21"/>
        </w:rPr>
        <w:t xml:space="preserve">Mathematical Transformation: Apply log(x + 1) or Box-Cox transformations to reduce right-skewness.</w:t>
      </w:r>
    </w:p>
    <w:p>
      <w:pPr>
        <w:pStyle w:val="ListParagraph"/>
        <w:numPr>
          <w:ilvl w:val="0"/>
          <w:numId w:val="2"/>
        </w:numPr>
        <w:spacing w:after="60"/>
      </w:pPr>
      <w:r>
        <w:rPr>
          <w:color w:val="333333"/>
          <w:sz w:val="21"/>
          <w:szCs w:val="21"/>
        </w:rPr>
        <w:t xml:space="preserve">Removal: Trim entries only when proven to be data collection errors or irredeemable corruption.</w:t>
      </w:r>
    </w:p>
    <w:p>
      <w:pPr>
        <w:spacing w:after="80" w:before="200"/>
      </w:pPr>
      <w:r>
        <w:rPr>
          <w:b/>
          <w:bCs/>
          <w:color w:val="2E5AAC"/>
          <w:sz w:val="22"/>
          <w:szCs w:val="22"/>
        </w:rPr>
        <w:t xml:space="preserve">3.3 Analytical Methods</w:t>
      </w:r>
    </w:p>
    <w:p>
      <w:pPr>
        <w:spacing w:after="80" w:before="200"/>
      </w:pPr>
      <w:r>
        <w:rPr>
          <w:b/>
          <w:bCs/>
          <w:color w:val="2E5AAC"/>
          <w:sz w:val="20"/>
          <w:szCs w:val="20"/>
        </w:rPr>
        <w:t xml:space="preserve">A. Univariate Analysis</w:t>
      </w:r>
    </w:p>
    <w:p>
      <w:pPr>
        <w:spacing w:after="80"/>
      </w:pPr>
      <w:r>
        <w:rPr>
          <w:color w:val="333333"/>
          <w:sz w:val="21"/>
          <w:szCs w:val="21"/>
        </w:rPr>
        <w:t xml:space="preserve">Explores features individually to establish baseline properties.</w:t>
      </w:r>
    </w:p>
    <w:p>
      <w:pPr>
        <w:pStyle w:val="ListParagraph"/>
        <w:numPr>
          <w:ilvl w:val="0"/>
          <w:numId w:val="2"/>
        </w:numPr>
        <w:spacing w:after="60"/>
      </w:pPr>
      <w:r>
        <w:rPr>
          <w:color w:val="333333"/>
          <w:sz w:val="21"/>
          <w:szCs w:val="21"/>
        </w:rPr>
        <w:t xml:space="preserve">Metrics: Summary statistics (Mean, Median, Standard Deviation, Skewness, Kurtosis).</w:t>
      </w:r>
    </w:p>
    <w:p>
      <w:pPr>
        <w:pStyle w:val="ListParagraph"/>
        <w:numPr>
          <w:ilvl w:val="0"/>
          <w:numId w:val="2"/>
        </w:numPr>
        <w:spacing w:after="60"/>
      </w:pPr>
      <w:r>
        <w:rPr>
          <w:color w:val="333333"/>
          <w:sz w:val="21"/>
          <w:szCs w:val="21"/>
        </w:rPr>
        <w:t xml:space="preserve">Visuals: Histograms, Kernel Density Estimations (KDE), Boxplots, Frequency Bar Plots.</w:t>
      </w:r>
    </w:p>
    <w:p>
      <w:pPr>
        <w:spacing w:after="80" w:before="200"/>
      </w:pPr>
      <w:r>
        <w:rPr>
          <w:b/>
          <w:bCs/>
          <w:color w:val="2E5AAC"/>
          <w:sz w:val="20"/>
          <w:szCs w:val="20"/>
        </w:rPr>
        <w:t xml:space="preserve">B. Bivariate Analysis</w:t>
      </w:r>
    </w:p>
    <w:p>
      <w:pPr>
        <w:spacing w:after="80"/>
      </w:pPr>
      <w:r>
        <w:rPr>
          <w:color w:val="333333"/>
          <w:sz w:val="21"/>
          <w:szCs w:val="21"/>
        </w:rPr>
        <w:t xml:space="preserve">Examines the relationship between pairs of variables.</w:t>
      </w:r>
    </w:p>
    <w:p>
      <w:pPr>
        <w:pStyle w:val="ListParagraph"/>
        <w:numPr>
          <w:ilvl w:val="0"/>
          <w:numId w:val="2"/>
        </w:numPr>
        <w:spacing w:after="60"/>
      </w:pPr>
      <w:r>
        <w:rPr>
          <w:color w:val="333333"/>
          <w:sz w:val="21"/>
          <w:szCs w:val="21"/>
        </w:rPr>
        <w:t xml:space="preserve">Numeric vs. Numeric: Pearson/Spearman correlation coefficients, Scatter plots.</w:t>
      </w:r>
    </w:p>
    <w:p>
      <w:pPr>
        <w:pStyle w:val="ListParagraph"/>
        <w:numPr>
          <w:ilvl w:val="0"/>
          <w:numId w:val="2"/>
        </w:numPr>
        <w:spacing w:after="60"/>
      </w:pPr>
      <w:r>
        <w:rPr>
          <w:color w:val="333333"/>
          <w:sz w:val="21"/>
          <w:szCs w:val="21"/>
        </w:rPr>
        <w:t xml:space="preserve">Numeric vs. Categorical: Grouped Boxplots, Violin plots, ANOVA testing.</w:t>
      </w:r>
    </w:p>
    <w:p>
      <w:pPr>
        <w:pStyle w:val="ListParagraph"/>
        <w:numPr>
          <w:ilvl w:val="0"/>
          <w:numId w:val="2"/>
        </w:numPr>
        <w:spacing w:after="60"/>
      </w:pPr>
      <w:r>
        <w:rPr>
          <w:color w:val="333333"/>
          <w:sz w:val="21"/>
          <w:szCs w:val="21"/>
        </w:rPr>
        <w:t xml:space="preserve">Categorical vs. Categorical: Cross-tabulations, Contingency Tables, Stacked Bar Charts, Chi-Square test of independence.</w:t>
      </w:r>
    </w:p>
    <w:p>
      <w:pPr>
        <w:spacing w:after="80" w:before="200"/>
      </w:pPr>
      <w:r>
        <w:rPr>
          <w:b/>
          <w:bCs/>
          <w:color w:val="2E5AAC"/>
          <w:sz w:val="20"/>
          <w:szCs w:val="20"/>
        </w:rPr>
        <w:t xml:space="preserve">C. Multivariate Analysis</w:t>
      </w:r>
    </w:p>
    <w:p>
      <w:pPr>
        <w:spacing w:after="80"/>
      </w:pPr>
      <w:r>
        <w:rPr>
          <w:color w:val="333333"/>
          <w:sz w:val="21"/>
          <w:szCs w:val="21"/>
        </w:rPr>
        <w:t xml:space="preserve">Evaluates complex interdependencies among three or more features.</w:t>
      </w:r>
    </w:p>
    <w:p>
      <w:pPr>
        <w:pStyle w:val="ListParagraph"/>
        <w:numPr>
          <w:ilvl w:val="0"/>
          <w:numId w:val="2"/>
        </w:numPr>
        <w:spacing w:after="60"/>
      </w:pPr>
      <w:r>
        <w:rPr>
          <w:color w:val="333333"/>
          <w:sz w:val="21"/>
          <w:szCs w:val="21"/>
        </w:rPr>
        <w:t xml:space="preserve">Correlation Heatmaps: Visual representation of correlation matrices.</w:t>
      </w:r>
    </w:p>
    <w:p>
      <w:pPr>
        <w:pStyle w:val="ListParagraph"/>
        <w:numPr>
          <w:ilvl w:val="0"/>
          <w:numId w:val="2"/>
        </w:numPr>
        <w:spacing w:after="60"/>
      </w:pPr>
      <w:r>
        <w:rPr>
          <w:color w:val="333333"/>
          <w:sz w:val="21"/>
          <w:szCs w:val="21"/>
        </w:rPr>
        <w:t xml:space="preserve">Dimensionality Reduction Visualizations: PCA or t-SNE projections to identify natural clusters in high-dimensional data.</w:t>
      </w:r>
    </w:p>
    <w:p>
      <w:pPr>
        <w:pStyle w:val="ListParagraph"/>
        <w:numPr>
          <w:ilvl w:val="0"/>
          <w:numId w:val="2"/>
        </w:numPr>
        <w:spacing w:after="60"/>
      </w:pPr>
      <w:r>
        <w:rPr>
          <w:color w:val="333333"/>
          <w:sz w:val="21"/>
          <w:szCs w:val="21"/>
        </w:rPr>
        <w:t xml:space="preserve">Pairplots &amp; Facet Grids: Multi-panel plots displaying scatter distributions filtered by categorical slices.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B2A4A" w:color="auto" w:val="clear"/>
            <w:tcMar>
              <w:top w:type="dxa" w:w="140"/>
              <w:left w:type="dxa" w:w="180"/>
              <w:bottom w:type="dxa" w:w="140"/>
              <w:right w:type="dxa" w:w="180"/>
            </w:tcMar>
            <w:vAlign w:val="center"/>
          </w:tcPr>
          <w:p>
            <w:r>
              <w:rPr>
                <w:b/>
                <w:bCs/>
                <w:color w:val="FFFFFF"/>
                <w:sz w:val="26"/>
                <w:szCs w:val="26"/>
              </w:rPr>
              <w:t xml:space="preserve">4. Visualization Framework &amp; Plotting Strategies</w:t>
            </w:r>
          </w:p>
        </w:tc>
      </w:tr>
    </w:tbl>
    <w:p>
      <w:pPr>
        <w:spacing w:after="120"/>
      </w:pPr>
    </w:p>
    <w:p>
      <w:pPr>
        <w:spacing w:after="80"/>
      </w:pPr>
      <w:r>
        <w:rPr>
          <w:color w:val="333333"/>
          <w:sz w:val="21"/>
          <w:szCs w:val="21"/>
        </w:rPr>
        <w:t xml:space="preserve">Selecting the correct visual format ensures patterns are clearly communicated: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3380"/>
      </w:tblGrid>
      <w:tr>
        <w:trPr>
          <w:tblHeader/>
        </w:trPr>
        <w:tc>
          <w:tcPr>
            <w:tcW w:type="dxa" w:w="1900"/>
            <w:shd w:fill="2E5AAC" w:color="auto" w:val="clear"/>
            <w:tcMar>
              <w:top w:type="dxa" w:w="100"/>
              <w:left w:type="dxa" w:w="120"/>
              <w:bottom w:type="dxa" w:w="100"/>
              <w:right w:type="dxa" w:w="120"/>
            </w:tcMar>
            <w:vAlign w:val="center"/>
          </w:tcPr>
          <w:p>
            <w:r>
              <w:rPr>
                <w:b/>
                <w:bCs/>
                <w:color w:val="FFFFFF"/>
                <w:sz w:val="18"/>
                <w:szCs w:val="18"/>
              </w:rPr>
              <w:t xml:space="preserve">Chart Type</w:t>
            </w:r>
          </w:p>
        </w:tc>
        <w:tc>
          <w:tcPr>
            <w:tcW w:type="dxa" w:w="2700"/>
            <w:shd w:fill="2E5AAC" w:color="auto" w:val="clear"/>
            <w:tcMar>
              <w:top w:type="dxa" w:w="100"/>
              <w:left w:type="dxa" w:w="120"/>
              <w:bottom w:type="dxa" w:w="100"/>
              <w:right w:type="dxa" w:w="120"/>
            </w:tcMar>
            <w:vAlign w:val="center"/>
          </w:tcPr>
          <w:p>
            <w:r>
              <w:rPr>
                <w:b/>
                <w:bCs/>
                <w:color w:val="FFFFFF"/>
                <w:sz w:val="18"/>
                <w:szCs w:val="18"/>
              </w:rPr>
              <w:t xml:space="preserve">Input Dimensions</w:t>
            </w:r>
          </w:p>
        </w:tc>
        <w:tc>
          <w:tcPr>
            <w:tcW w:type="dxa" w:w="2300"/>
            <w:shd w:fill="2E5AAC" w:color="auto" w:val="clear"/>
            <w:tcMar>
              <w:top w:type="dxa" w:w="100"/>
              <w:left w:type="dxa" w:w="120"/>
              <w:bottom w:type="dxa" w:w="100"/>
              <w:right w:type="dxa" w:w="120"/>
            </w:tcMar>
            <w:vAlign w:val="center"/>
          </w:tcPr>
          <w:p>
            <w:r>
              <w:rPr>
                <w:b/>
                <w:bCs/>
                <w:color w:val="FFFFFF"/>
                <w:sz w:val="18"/>
                <w:szCs w:val="18"/>
              </w:rPr>
              <w:t xml:space="preserve">Core Purpose</w:t>
            </w:r>
          </w:p>
        </w:tc>
        <w:tc>
          <w:tcPr>
            <w:tcW w:type="dxa" w:w="3380"/>
            <w:shd w:fill="2E5AAC" w:color="auto" w:val="clear"/>
            <w:tcMar>
              <w:top w:type="dxa" w:w="100"/>
              <w:left w:type="dxa" w:w="120"/>
              <w:bottom w:type="dxa" w:w="100"/>
              <w:right w:type="dxa" w:w="120"/>
            </w:tcMar>
            <w:vAlign w:val="center"/>
          </w:tcPr>
          <w:p>
            <w:r>
              <w:rPr>
                <w:b/>
                <w:bCs/>
                <w:color w:val="FFFFFF"/>
                <w:sz w:val="18"/>
                <w:szCs w:val="18"/>
              </w:rPr>
              <w:t xml:space="preserve">Key Insight Uncovered</w:t>
            </w:r>
          </w:p>
        </w:tc>
      </w:tr>
      <w:tr>
        <w:tc>
          <w:tcPr>
            <w:tcW w:type="dxa" w:w="1900"/>
            <w:shd w:fill="FFFFFF" w:color="auto" w:val="clear"/>
            <w:tcMar>
              <w:top w:type="dxa" w:w="90"/>
              <w:left w:type="dxa" w:w="120"/>
              <w:bottom w:type="dxa" w:w="90"/>
              <w:right w:type="dxa" w:w="120"/>
            </w:tcMar>
            <w:vAlign w:val="center"/>
          </w:tcPr>
          <w:p>
            <w:r>
              <w:rPr>
                <w:color w:val="333333"/>
                <w:sz w:val="18"/>
                <w:szCs w:val="18"/>
              </w:rPr>
              <w:t xml:space="preserve">Histogram / KDE</w:t>
            </w:r>
          </w:p>
        </w:tc>
        <w:tc>
          <w:tcPr>
            <w:tcW w:type="dxa" w:w="2700"/>
            <w:shd w:fill="FFFFFF" w:color="auto" w:val="clear"/>
            <w:tcMar>
              <w:top w:type="dxa" w:w="90"/>
              <w:left w:type="dxa" w:w="120"/>
              <w:bottom w:type="dxa" w:w="90"/>
              <w:right w:type="dxa" w:w="120"/>
            </w:tcMar>
            <w:vAlign w:val="center"/>
          </w:tcPr>
          <w:p>
            <w:r>
              <w:rPr>
                <w:color w:val="333333"/>
                <w:sz w:val="18"/>
                <w:szCs w:val="18"/>
              </w:rPr>
              <w:t xml:space="preserve">1 Continuous</w:t>
            </w:r>
          </w:p>
        </w:tc>
        <w:tc>
          <w:tcPr>
            <w:tcW w:type="dxa" w:w="2300"/>
            <w:shd w:fill="FFFFFF" w:color="auto" w:val="clear"/>
            <w:tcMar>
              <w:top w:type="dxa" w:w="90"/>
              <w:left w:type="dxa" w:w="120"/>
              <w:bottom w:type="dxa" w:w="90"/>
              <w:right w:type="dxa" w:w="120"/>
            </w:tcMar>
            <w:vAlign w:val="center"/>
          </w:tcPr>
          <w:p>
            <w:r>
              <w:rPr>
                <w:color w:val="333333"/>
                <w:sz w:val="18"/>
                <w:szCs w:val="18"/>
              </w:rPr>
              <w:t xml:space="preserve">Distribution shape evaluation</w:t>
            </w:r>
          </w:p>
        </w:tc>
        <w:tc>
          <w:tcPr>
            <w:tcW w:type="dxa" w:w="3380"/>
            <w:shd w:fill="FFFFFF" w:color="auto" w:val="clear"/>
            <w:tcMar>
              <w:top w:type="dxa" w:w="90"/>
              <w:left w:type="dxa" w:w="120"/>
              <w:bottom w:type="dxa" w:w="90"/>
              <w:right w:type="dxa" w:w="120"/>
            </w:tcMar>
            <w:vAlign w:val="center"/>
          </w:tcPr>
          <w:p>
            <w:r>
              <w:rPr>
                <w:color w:val="333333"/>
                <w:sz w:val="18"/>
                <w:szCs w:val="18"/>
              </w:rPr>
              <w:t xml:space="preserve">Normality, bimodality, skewness</w:t>
            </w:r>
          </w:p>
        </w:tc>
      </w:tr>
      <w:tr>
        <w:tc>
          <w:tcPr>
            <w:tcW w:type="dxa" w:w="1900"/>
            <w:shd w:fill="F2F5FA" w:color="auto" w:val="clear"/>
            <w:tcMar>
              <w:top w:type="dxa" w:w="90"/>
              <w:left w:type="dxa" w:w="120"/>
              <w:bottom w:type="dxa" w:w="90"/>
              <w:right w:type="dxa" w:w="120"/>
            </w:tcMar>
            <w:vAlign w:val="center"/>
          </w:tcPr>
          <w:p>
            <w:r>
              <w:rPr>
                <w:color w:val="333333"/>
                <w:sz w:val="18"/>
                <w:szCs w:val="18"/>
              </w:rPr>
              <w:t xml:space="preserve">Box Plot</w:t>
            </w:r>
          </w:p>
        </w:tc>
        <w:tc>
          <w:tcPr>
            <w:tcW w:type="dxa" w:w="2700"/>
            <w:shd w:fill="F2F5FA" w:color="auto" w:val="clear"/>
            <w:tcMar>
              <w:top w:type="dxa" w:w="90"/>
              <w:left w:type="dxa" w:w="120"/>
              <w:bottom w:type="dxa" w:w="90"/>
              <w:right w:type="dxa" w:w="120"/>
            </w:tcMar>
            <w:vAlign w:val="center"/>
          </w:tcPr>
          <w:p>
            <w:r>
              <w:rPr>
                <w:color w:val="333333"/>
                <w:sz w:val="18"/>
                <w:szCs w:val="18"/>
              </w:rPr>
              <w:t xml:space="preserve">1 Continuous (+ optional Categorical)</w:t>
            </w:r>
          </w:p>
        </w:tc>
        <w:tc>
          <w:tcPr>
            <w:tcW w:type="dxa" w:w="2300"/>
            <w:shd w:fill="F2F5FA" w:color="auto" w:val="clear"/>
            <w:tcMar>
              <w:top w:type="dxa" w:w="90"/>
              <w:left w:type="dxa" w:w="120"/>
              <w:bottom w:type="dxa" w:w="90"/>
              <w:right w:type="dxa" w:w="120"/>
            </w:tcMar>
            <w:vAlign w:val="center"/>
          </w:tcPr>
          <w:p>
            <w:r>
              <w:rPr>
                <w:color w:val="333333"/>
                <w:sz w:val="18"/>
                <w:szCs w:val="18"/>
              </w:rPr>
              <w:t xml:space="preserve">Dispersion &amp; Outliers</w:t>
            </w:r>
          </w:p>
        </w:tc>
        <w:tc>
          <w:tcPr>
            <w:tcW w:type="dxa" w:w="3380"/>
            <w:shd w:fill="F2F5FA" w:color="auto" w:val="clear"/>
            <w:tcMar>
              <w:top w:type="dxa" w:w="90"/>
              <w:left w:type="dxa" w:w="120"/>
              <w:bottom w:type="dxa" w:w="90"/>
              <w:right w:type="dxa" w:w="120"/>
            </w:tcMar>
            <w:vAlign w:val="center"/>
          </w:tcPr>
          <w:p>
            <w:r>
              <w:rPr>
                <w:color w:val="333333"/>
                <w:sz w:val="18"/>
                <w:szCs w:val="18"/>
              </w:rPr>
              <w:t xml:space="preserve">Outliers, median alignment, IQR spread</w:t>
            </w:r>
          </w:p>
        </w:tc>
      </w:tr>
      <w:tr>
        <w:tc>
          <w:tcPr>
            <w:tcW w:type="dxa" w:w="1900"/>
            <w:shd w:fill="FFFFFF" w:color="auto" w:val="clear"/>
            <w:tcMar>
              <w:top w:type="dxa" w:w="90"/>
              <w:left w:type="dxa" w:w="120"/>
              <w:bottom w:type="dxa" w:w="90"/>
              <w:right w:type="dxa" w:w="120"/>
            </w:tcMar>
            <w:vAlign w:val="center"/>
          </w:tcPr>
          <w:p>
            <w:r>
              <w:rPr>
                <w:color w:val="333333"/>
                <w:sz w:val="18"/>
                <w:szCs w:val="18"/>
              </w:rPr>
              <w:t xml:space="preserve">Bar / Count Plot</w:t>
            </w:r>
          </w:p>
        </w:tc>
        <w:tc>
          <w:tcPr>
            <w:tcW w:type="dxa" w:w="2700"/>
            <w:shd w:fill="FFFFFF" w:color="auto" w:val="clear"/>
            <w:tcMar>
              <w:top w:type="dxa" w:w="90"/>
              <w:left w:type="dxa" w:w="120"/>
              <w:bottom w:type="dxa" w:w="90"/>
              <w:right w:type="dxa" w:w="120"/>
            </w:tcMar>
            <w:vAlign w:val="center"/>
          </w:tcPr>
          <w:p>
            <w:r>
              <w:rPr>
                <w:color w:val="333333"/>
                <w:sz w:val="18"/>
                <w:szCs w:val="18"/>
              </w:rPr>
              <w:t xml:space="preserve">1 or 2 Categorical</w:t>
            </w:r>
          </w:p>
        </w:tc>
        <w:tc>
          <w:tcPr>
            <w:tcW w:type="dxa" w:w="2300"/>
            <w:shd w:fill="FFFFFF" w:color="auto" w:val="clear"/>
            <w:tcMar>
              <w:top w:type="dxa" w:w="90"/>
              <w:left w:type="dxa" w:w="120"/>
              <w:bottom w:type="dxa" w:w="90"/>
              <w:right w:type="dxa" w:w="120"/>
            </w:tcMar>
            <w:vAlign w:val="center"/>
          </w:tcPr>
          <w:p>
            <w:r>
              <w:rPr>
                <w:color w:val="333333"/>
                <w:sz w:val="18"/>
                <w:szCs w:val="18"/>
              </w:rPr>
              <w:t xml:space="preserve">Frequency comparison</w:t>
            </w:r>
          </w:p>
        </w:tc>
        <w:tc>
          <w:tcPr>
            <w:tcW w:type="dxa" w:w="3380"/>
            <w:shd w:fill="FFFFFF" w:color="auto" w:val="clear"/>
            <w:tcMar>
              <w:top w:type="dxa" w:w="90"/>
              <w:left w:type="dxa" w:w="120"/>
              <w:bottom w:type="dxa" w:w="90"/>
              <w:right w:type="dxa" w:w="120"/>
            </w:tcMar>
            <w:vAlign w:val="center"/>
          </w:tcPr>
          <w:p>
            <w:r>
              <w:rPr>
                <w:color w:val="333333"/>
                <w:sz w:val="18"/>
                <w:szCs w:val="18"/>
              </w:rPr>
              <w:t xml:space="preserve">Category dominance, class imbalance</w:t>
            </w:r>
          </w:p>
        </w:tc>
      </w:tr>
      <w:tr>
        <w:tc>
          <w:tcPr>
            <w:tcW w:type="dxa" w:w="1900"/>
            <w:shd w:fill="F2F5FA" w:color="auto" w:val="clear"/>
            <w:tcMar>
              <w:top w:type="dxa" w:w="90"/>
              <w:left w:type="dxa" w:w="120"/>
              <w:bottom w:type="dxa" w:w="90"/>
              <w:right w:type="dxa" w:w="120"/>
            </w:tcMar>
            <w:vAlign w:val="center"/>
          </w:tcPr>
          <w:p>
            <w:r>
              <w:rPr>
                <w:color w:val="333333"/>
                <w:sz w:val="18"/>
                <w:szCs w:val="18"/>
              </w:rPr>
              <w:t xml:space="preserve">Scatter Plot</w:t>
            </w:r>
          </w:p>
        </w:tc>
        <w:tc>
          <w:tcPr>
            <w:tcW w:type="dxa" w:w="2700"/>
            <w:shd w:fill="F2F5FA" w:color="auto" w:val="clear"/>
            <w:tcMar>
              <w:top w:type="dxa" w:w="90"/>
              <w:left w:type="dxa" w:w="120"/>
              <w:bottom w:type="dxa" w:w="90"/>
              <w:right w:type="dxa" w:w="120"/>
            </w:tcMar>
            <w:vAlign w:val="center"/>
          </w:tcPr>
          <w:p>
            <w:r>
              <w:rPr>
                <w:color w:val="333333"/>
                <w:sz w:val="18"/>
                <w:szCs w:val="18"/>
              </w:rPr>
              <w:t xml:space="preserve">2 Continuous (+ optional Categorical hue)</w:t>
            </w:r>
          </w:p>
        </w:tc>
        <w:tc>
          <w:tcPr>
            <w:tcW w:type="dxa" w:w="2300"/>
            <w:shd w:fill="F2F5FA" w:color="auto" w:val="clear"/>
            <w:tcMar>
              <w:top w:type="dxa" w:w="90"/>
              <w:left w:type="dxa" w:w="120"/>
              <w:bottom w:type="dxa" w:w="90"/>
              <w:right w:type="dxa" w:w="120"/>
            </w:tcMar>
            <w:vAlign w:val="center"/>
          </w:tcPr>
          <w:p>
            <w:r>
              <w:rPr>
                <w:color w:val="333333"/>
                <w:sz w:val="18"/>
                <w:szCs w:val="18"/>
              </w:rPr>
              <w:t xml:space="preserve">Relationship detection</w:t>
            </w:r>
          </w:p>
        </w:tc>
        <w:tc>
          <w:tcPr>
            <w:tcW w:type="dxa" w:w="3380"/>
            <w:shd w:fill="F2F5FA" w:color="auto" w:val="clear"/>
            <w:tcMar>
              <w:top w:type="dxa" w:w="90"/>
              <w:left w:type="dxa" w:w="120"/>
              <w:bottom w:type="dxa" w:w="90"/>
              <w:right w:type="dxa" w:w="120"/>
            </w:tcMar>
            <w:vAlign w:val="center"/>
          </w:tcPr>
          <w:p>
            <w:r>
              <w:rPr>
                <w:color w:val="333333"/>
                <w:sz w:val="18"/>
                <w:szCs w:val="18"/>
              </w:rPr>
              <w:t xml:space="preserve">Linearity, clusters, variance heteroscedasticity</w:t>
            </w:r>
          </w:p>
        </w:tc>
      </w:tr>
      <w:tr>
        <w:tc>
          <w:tcPr>
            <w:tcW w:type="dxa" w:w="1900"/>
            <w:shd w:fill="FFFFFF" w:color="auto" w:val="clear"/>
            <w:tcMar>
              <w:top w:type="dxa" w:w="90"/>
              <w:left w:type="dxa" w:w="120"/>
              <w:bottom w:type="dxa" w:w="90"/>
              <w:right w:type="dxa" w:w="120"/>
            </w:tcMar>
            <w:vAlign w:val="center"/>
          </w:tcPr>
          <w:p>
            <w:r>
              <w:rPr>
                <w:color w:val="333333"/>
                <w:sz w:val="18"/>
                <w:szCs w:val="18"/>
              </w:rPr>
              <w:t xml:space="preserve">Correlation Heatmap</w:t>
            </w:r>
          </w:p>
        </w:tc>
        <w:tc>
          <w:tcPr>
            <w:tcW w:type="dxa" w:w="2700"/>
            <w:shd w:fill="FFFFFF" w:color="auto" w:val="clear"/>
            <w:tcMar>
              <w:top w:type="dxa" w:w="90"/>
              <w:left w:type="dxa" w:w="120"/>
              <w:bottom w:type="dxa" w:w="90"/>
              <w:right w:type="dxa" w:w="120"/>
            </w:tcMar>
            <w:vAlign w:val="center"/>
          </w:tcPr>
          <w:p>
            <w:r>
              <w:rPr>
                <w:color w:val="333333"/>
                <w:sz w:val="18"/>
                <w:szCs w:val="18"/>
              </w:rPr>
              <w:t xml:space="preserve">Matrix of Continuous</w:t>
            </w:r>
          </w:p>
        </w:tc>
        <w:tc>
          <w:tcPr>
            <w:tcW w:type="dxa" w:w="2300"/>
            <w:shd w:fill="FFFFFF" w:color="auto" w:val="clear"/>
            <w:tcMar>
              <w:top w:type="dxa" w:w="90"/>
              <w:left w:type="dxa" w:w="120"/>
              <w:bottom w:type="dxa" w:w="90"/>
              <w:right w:type="dxa" w:w="120"/>
            </w:tcMar>
            <w:vAlign w:val="center"/>
          </w:tcPr>
          <w:p>
            <w:r>
              <w:rPr>
                <w:color w:val="333333"/>
                <w:sz w:val="18"/>
                <w:szCs w:val="18"/>
              </w:rPr>
              <w:t xml:space="preserve">Multicollinearity assessment</w:t>
            </w:r>
          </w:p>
        </w:tc>
        <w:tc>
          <w:tcPr>
            <w:tcW w:type="dxa" w:w="3380"/>
            <w:shd w:fill="FFFFFF" w:color="auto" w:val="clear"/>
            <w:tcMar>
              <w:top w:type="dxa" w:w="90"/>
              <w:left w:type="dxa" w:w="120"/>
              <w:bottom w:type="dxa" w:w="90"/>
              <w:right w:type="dxa" w:w="120"/>
            </w:tcMar>
            <w:vAlign w:val="center"/>
          </w:tcPr>
          <w:p>
            <w:r>
              <w:rPr>
                <w:color w:val="333333"/>
                <w:sz w:val="18"/>
                <w:szCs w:val="18"/>
              </w:rPr>
              <w:t xml:space="preserve">Feature redundancy, strong predictors</w:t>
            </w:r>
          </w:p>
        </w:tc>
      </w:tr>
      <w:tr>
        <w:tc>
          <w:tcPr>
            <w:tcW w:type="dxa" w:w="1900"/>
            <w:shd w:fill="F2F5FA" w:color="auto" w:val="clear"/>
            <w:tcMar>
              <w:top w:type="dxa" w:w="90"/>
              <w:left w:type="dxa" w:w="120"/>
              <w:bottom w:type="dxa" w:w="90"/>
              <w:right w:type="dxa" w:w="120"/>
            </w:tcMar>
            <w:vAlign w:val="center"/>
          </w:tcPr>
          <w:p>
            <w:r>
              <w:rPr>
                <w:color w:val="333333"/>
                <w:sz w:val="18"/>
                <w:szCs w:val="18"/>
              </w:rPr>
              <w:t xml:space="preserve">Line Chart</w:t>
            </w:r>
          </w:p>
        </w:tc>
        <w:tc>
          <w:tcPr>
            <w:tcW w:type="dxa" w:w="2700"/>
            <w:shd w:fill="F2F5FA" w:color="auto" w:val="clear"/>
            <w:tcMar>
              <w:top w:type="dxa" w:w="90"/>
              <w:left w:type="dxa" w:w="120"/>
              <w:bottom w:type="dxa" w:w="90"/>
              <w:right w:type="dxa" w:w="120"/>
            </w:tcMar>
            <w:vAlign w:val="center"/>
          </w:tcPr>
          <w:p>
            <w:r>
              <w:rPr>
                <w:color w:val="333333"/>
                <w:sz w:val="18"/>
                <w:szCs w:val="18"/>
              </w:rPr>
              <w:t xml:space="preserve">1 Datetime + 1 Continuous</w:t>
            </w:r>
          </w:p>
        </w:tc>
        <w:tc>
          <w:tcPr>
            <w:tcW w:type="dxa" w:w="2300"/>
            <w:shd w:fill="F2F5FA" w:color="auto" w:val="clear"/>
            <w:tcMar>
              <w:top w:type="dxa" w:w="90"/>
              <w:left w:type="dxa" w:w="120"/>
              <w:bottom w:type="dxa" w:w="90"/>
              <w:right w:type="dxa" w:w="120"/>
            </w:tcMar>
            <w:vAlign w:val="center"/>
          </w:tcPr>
          <w:p>
            <w:r>
              <w:rPr>
                <w:color w:val="333333"/>
                <w:sz w:val="18"/>
                <w:szCs w:val="18"/>
              </w:rPr>
              <w:t xml:space="preserve">Trend over time</w:t>
            </w:r>
          </w:p>
        </w:tc>
        <w:tc>
          <w:tcPr>
            <w:tcW w:type="dxa" w:w="3380"/>
            <w:shd w:fill="F2F5FA" w:color="auto" w:val="clear"/>
            <w:tcMar>
              <w:top w:type="dxa" w:w="90"/>
              <w:left w:type="dxa" w:w="120"/>
              <w:bottom w:type="dxa" w:w="90"/>
              <w:right w:type="dxa" w:w="120"/>
            </w:tcMar>
            <w:vAlign w:val="center"/>
          </w:tcPr>
          <w:p>
            <w:r>
              <w:rPr>
                <w:color w:val="333333"/>
                <w:sz w:val="18"/>
                <w:szCs w:val="18"/>
              </w:rPr>
              <w:t xml:space="preserve">Seasonality, cyclic behavior, structural breaks</w:t>
            </w:r>
          </w:p>
        </w:tc>
      </w:tr>
      <w:tr>
        <w:tc>
          <w:tcPr>
            <w:tcW w:type="dxa" w:w="1900"/>
            <w:shd w:fill="FFFFFF" w:color="auto" w:val="clear"/>
            <w:tcMar>
              <w:top w:type="dxa" w:w="90"/>
              <w:left w:type="dxa" w:w="120"/>
              <w:bottom w:type="dxa" w:w="90"/>
              <w:right w:type="dxa" w:w="120"/>
            </w:tcMar>
            <w:vAlign w:val="center"/>
          </w:tcPr>
          <w:p>
            <w:r>
              <w:rPr>
                <w:color w:val="333333"/>
                <w:sz w:val="18"/>
                <w:szCs w:val="18"/>
              </w:rPr>
              <w:t xml:space="preserve">Violin Plot</w:t>
            </w:r>
          </w:p>
        </w:tc>
        <w:tc>
          <w:tcPr>
            <w:tcW w:type="dxa" w:w="2700"/>
            <w:shd w:fill="FFFFFF" w:color="auto" w:val="clear"/>
            <w:tcMar>
              <w:top w:type="dxa" w:w="90"/>
              <w:left w:type="dxa" w:w="120"/>
              <w:bottom w:type="dxa" w:w="90"/>
              <w:right w:type="dxa" w:w="120"/>
            </w:tcMar>
            <w:vAlign w:val="center"/>
          </w:tcPr>
          <w:p>
            <w:r>
              <w:rPr>
                <w:color w:val="333333"/>
                <w:sz w:val="18"/>
                <w:szCs w:val="18"/>
              </w:rPr>
              <w:t xml:space="preserve">1 Continuous + 1 Categorical</w:t>
            </w:r>
          </w:p>
        </w:tc>
        <w:tc>
          <w:tcPr>
            <w:tcW w:type="dxa" w:w="2300"/>
            <w:shd w:fill="FFFFFF" w:color="auto" w:val="clear"/>
            <w:tcMar>
              <w:top w:type="dxa" w:w="90"/>
              <w:left w:type="dxa" w:w="120"/>
              <w:bottom w:type="dxa" w:w="90"/>
              <w:right w:type="dxa" w:w="120"/>
            </w:tcMar>
            <w:vAlign w:val="center"/>
          </w:tcPr>
          <w:p>
            <w:r>
              <w:rPr>
                <w:color w:val="333333"/>
                <w:sz w:val="18"/>
                <w:szCs w:val="18"/>
              </w:rPr>
              <w:t xml:space="preserve">Density distribution across groups</w:t>
            </w:r>
          </w:p>
        </w:tc>
        <w:tc>
          <w:tcPr>
            <w:tcW w:type="dxa" w:w="3380"/>
            <w:shd w:fill="FFFFFF" w:color="auto" w:val="clear"/>
            <w:tcMar>
              <w:top w:type="dxa" w:w="90"/>
              <w:left w:type="dxa" w:w="120"/>
              <w:bottom w:type="dxa" w:w="90"/>
              <w:right w:type="dxa" w:w="120"/>
            </w:tcMar>
            <w:vAlign w:val="center"/>
          </w:tcPr>
          <w:p>
            <w:r>
              <w:rPr>
                <w:color w:val="333333"/>
                <w:sz w:val="18"/>
                <w:szCs w:val="18"/>
              </w:rPr>
              <w:t xml:space="preserve">Multi-modal distributions inside categories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B2A4A" w:color="auto" w:val="clear"/>
            <w:tcMar>
              <w:top w:type="dxa" w:w="140"/>
              <w:left w:type="dxa" w:w="180"/>
              <w:bottom w:type="dxa" w:w="140"/>
              <w:right w:type="dxa" w:w="180"/>
            </w:tcMar>
            <w:vAlign w:val="center"/>
          </w:tcPr>
          <w:p>
            <w:r>
              <w:rPr>
                <w:b/>
                <w:bCs/>
                <w:color w:val="FFFFFF"/>
                <w:sz w:val="26"/>
                <w:szCs w:val="26"/>
              </w:rPr>
              <w:t xml:space="preserve">5. Technical Stack &amp; Python Libraries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780"/>
      </w:tblGrid>
      <w:tr>
        <w:trPr>
          <w:tblHeader/>
        </w:trPr>
        <w:tc>
          <w:tcPr>
            <w:tcW w:type="dxa" w:w="2500"/>
            <w:shd w:fill="2E5AAC" w:color="auto" w:val="clear"/>
            <w:tcMar>
              <w:top w:type="dxa" w:w="100"/>
              <w:left w:type="dxa" w:w="120"/>
              <w:bottom w:type="dxa" w:w="100"/>
              <w:right w:type="dxa" w:w="120"/>
            </w:tcMar>
            <w:vAlign w:val="center"/>
          </w:tcPr>
          <w:p>
            <w:r>
              <w:rPr>
                <w:b/>
                <w:bCs/>
                <w:color w:val="FFFFFF"/>
                <w:sz w:val="18"/>
                <w:szCs w:val="18"/>
              </w:rPr>
              <w:t xml:space="preserve">Library</w:t>
            </w:r>
          </w:p>
        </w:tc>
        <w:tc>
          <w:tcPr>
            <w:tcW w:type="dxa" w:w="7780"/>
            <w:shd w:fill="2E5AAC" w:color="auto" w:val="clear"/>
            <w:tcMar>
              <w:top w:type="dxa" w:w="100"/>
              <w:left w:type="dxa" w:w="120"/>
              <w:bottom w:type="dxa" w:w="100"/>
              <w:right w:type="dxa" w:w="120"/>
            </w:tcMar>
            <w:vAlign w:val="center"/>
          </w:tcPr>
          <w:p>
            <w:r>
              <w:rPr>
                <w:b/>
                <w:bCs/>
                <w:color w:val="FFFFFF"/>
                <w:sz w:val="18"/>
                <w:szCs w:val="18"/>
              </w:rPr>
              <w:t xml:space="preserve">Key Purpose &amp; Contribution in Framework</w:t>
            </w:r>
          </w:p>
        </w:tc>
      </w:tr>
      <w:tr>
        <w:tc>
          <w:tcPr>
            <w:tcW w:type="dxa" w:w="2500"/>
            <w:shd w:fill="FFFFFF" w:color="auto" w:val="clear"/>
            <w:tcMar>
              <w:top w:type="dxa" w:w="90"/>
              <w:left w:type="dxa" w:w="120"/>
              <w:bottom w:type="dxa" w:w="90"/>
              <w:right w:type="dxa" w:w="120"/>
            </w:tcMar>
            <w:vAlign w:val="center"/>
          </w:tcPr>
          <w:p>
            <w:r>
              <w:rPr>
                <w:color w:val="333333"/>
                <w:sz w:val="18"/>
                <w:szCs w:val="18"/>
              </w:rPr>
              <w:t xml:space="preserve">pandas</w:t>
            </w:r>
          </w:p>
        </w:tc>
        <w:tc>
          <w:tcPr>
            <w:tcW w:type="dxa" w:w="7780"/>
            <w:shd w:fill="FFFFFF" w:color="auto" w:val="clear"/>
            <w:tcMar>
              <w:top w:type="dxa" w:w="90"/>
              <w:left w:type="dxa" w:w="120"/>
              <w:bottom w:type="dxa" w:w="90"/>
              <w:right w:type="dxa" w:w="120"/>
            </w:tcMar>
            <w:vAlign w:val="center"/>
          </w:tcPr>
          <w:p>
            <w:r>
              <w:rPr>
                <w:color w:val="333333"/>
                <w:sz w:val="18"/>
                <w:szCs w:val="18"/>
              </w:rPr>
              <w:t xml:space="preserve">Primary framework for data ingestion, cleaning, aggregation, boolean masking, time-series resampling, and structural profiling.</w:t>
            </w:r>
          </w:p>
        </w:tc>
      </w:tr>
      <w:tr>
        <w:tc>
          <w:tcPr>
            <w:tcW w:type="dxa" w:w="2500"/>
            <w:shd w:fill="F2F5FA" w:color="auto" w:val="clear"/>
            <w:tcMar>
              <w:top w:type="dxa" w:w="90"/>
              <w:left w:type="dxa" w:w="120"/>
              <w:bottom w:type="dxa" w:w="90"/>
              <w:right w:type="dxa" w:w="120"/>
            </w:tcMar>
            <w:vAlign w:val="center"/>
          </w:tcPr>
          <w:p>
            <w:r>
              <w:rPr>
                <w:color w:val="333333"/>
                <w:sz w:val="18"/>
                <w:szCs w:val="18"/>
              </w:rPr>
              <w:t xml:space="preserve">numpy</w:t>
            </w:r>
          </w:p>
        </w:tc>
        <w:tc>
          <w:tcPr>
            <w:tcW w:type="dxa" w:w="7780"/>
            <w:shd w:fill="F2F5FA" w:color="auto" w:val="clear"/>
            <w:tcMar>
              <w:top w:type="dxa" w:w="90"/>
              <w:left w:type="dxa" w:w="120"/>
              <w:bottom w:type="dxa" w:w="90"/>
              <w:right w:type="dxa" w:w="120"/>
            </w:tcMar>
            <w:vAlign w:val="center"/>
          </w:tcPr>
          <w:p>
            <w:r>
              <w:rPr>
                <w:color w:val="333333"/>
                <w:sz w:val="18"/>
                <w:szCs w:val="18"/>
              </w:rPr>
              <w:t xml:space="preserve">High-performance array operations, linear algebra calculations, vectorization, and statistical operations.</w:t>
            </w:r>
          </w:p>
        </w:tc>
      </w:tr>
      <w:tr>
        <w:tc>
          <w:tcPr>
            <w:tcW w:type="dxa" w:w="2500"/>
            <w:shd w:fill="FFFFFF" w:color="auto" w:val="clear"/>
            <w:tcMar>
              <w:top w:type="dxa" w:w="90"/>
              <w:left w:type="dxa" w:w="120"/>
              <w:bottom w:type="dxa" w:w="90"/>
              <w:right w:type="dxa" w:w="120"/>
            </w:tcMar>
            <w:vAlign w:val="center"/>
          </w:tcPr>
          <w:p>
            <w:r>
              <w:rPr>
                <w:color w:val="333333"/>
                <w:sz w:val="18"/>
                <w:szCs w:val="18"/>
              </w:rPr>
              <w:t xml:space="preserve">matplotlib</w:t>
            </w:r>
          </w:p>
        </w:tc>
        <w:tc>
          <w:tcPr>
            <w:tcW w:type="dxa" w:w="7780"/>
            <w:shd w:fill="FFFFFF" w:color="auto" w:val="clear"/>
            <w:tcMar>
              <w:top w:type="dxa" w:w="90"/>
              <w:left w:type="dxa" w:w="120"/>
              <w:bottom w:type="dxa" w:w="90"/>
              <w:right w:type="dxa" w:w="120"/>
            </w:tcMar>
            <w:vAlign w:val="center"/>
          </w:tcPr>
          <w:p>
            <w:r>
              <w:rPr>
                <w:color w:val="333333"/>
                <w:sz w:val="18"/>
                <w:szCs w:val="18"/>
              </w:rPr>
              <w:t xml:space="preserve">Foundation plotting library for creating custom visuals, controlling figure geometry, axes layout, and file export formatting.</w:t>
            </w:r>
          </w:p>
        </w:tc>
      </w:tr>
      <w:tr>
        <w:tc>
          <w:tcPr>
            <w:tcW w:type="dxa" w:w="2500"/>
            <w:shd w:fill="F2F5FA" w:color="auto" w:val="clear"/>
            <w:tcMar>
              <w:top w:type="dxa" w:w="90"/>
              <w:left w:type="dxa" w:w="120"/>
              <w:bottom w:type="dxa" w:w="90"/>
              <w:right w:type="dxa" w:w="120"/>
            </w:tcMar>
            <w:vAlign w:val="center"/>
          </w:tcPr>
          <w:p>
            <w:r>
              <w:rPr>
                <w:color w:val="333333"/>
                <w:sz w:val="18"/>
                <w:szCs w:val="18"/>
              </w:rPr>
              <w:t xml:space="preserve">seaborn</w:t>
            </w:r>
          </w:p>
        </w:tc>
        <w:tc>
          <w:tcPr>
            <w:tcW w:type="dxa" w:w="7780"/>
            <w:shd w:fill="F2F5FA" w:color="auto" w:val="clear"/>
            <w:tcMar>
              <w:top w:type="dxa" w:w="90"/>
              <w:left w:type="dxa" w:w="120"/>
              <w:bottom w:type="dxa" w:w="90"/>
              <w:right w:type="dxa" w:w="120"/>
            </w:tcMar>
            <w:vAlign w:val="center"/>
          </w:tcPr>
          <w:p>
            <w:r>
              <w:rPr>
                <w:color w:val="333333"/>
                <w:sz w:val="18"/>
                <w:szCs w:val="18"/>
              </w:rPr>
              <w:t xml:space="preserve">High-level statistical visualization layer providing attractive themes, default statistical aggregations, heatmaps, and pair plots.</w:t>
            </w:r>
          </w:p>
        </w:tc>
      </w:tr>
      <w:tr>
        <w:tc>
          <w:tcPr>
            <w:tcW w:type="dxa" w:w="2500"/>
            <w:shd w:fill="FFFFFF" w:color="auto" w:val="clear"/>
            <w:tcMar>
              <w:top w:type="dxa" w:w="90"/>
              <w:left w:type="dxa" w:w="120"/>
              <w:bottom w:type="dxa" w:w="90"/>
              <w:right w:type="dxa" w:w="120"/>
            </w:tcMar>
            <w:vAlign w:val="center"/>
          </w:tcPr>
          <w:p>
            <w:r>
              <w:rPr>
                <w:color w:val="333333"/>
                <w:sz w:val="18"/>
                <w:szCs w:val="18"/>
              </w:rPr>
              <w:t xml:space="preserve">plotly</w:t>
            </w:r>
          </w:p>
        </w:tc>
        <w:tc>
          <w:tcPr>
            <w:tcW w:type="dxa" w:w="7780"/>
            <w:shd w:fill="FFFFFF" w:color="auto" w:val="clear"/>
            <w:tcMar>
              <w:top w:type="dxa" w:w="90"/>
              <w:left w:type="dxa" w:w="120"/>
              <w:bottom w:type="dxa" w:w="90"/>
              <w:right w:type="dxa" w:w="120"/>
            </w:tcMar>
            <w:vAlign w:val="center"/>
          </w:tcPr>
          <w:p>
            <w:r>
              <w:rPr>
                <w:color w:val="333333"/>
                <w:sz w:val="18"/>
                <w:szCs w:val="18"/>
              </w:rPr>
              <w:t xml:space="preserve">Interactive graphics generator used for exploratory hover details, dynamic zooming, filtering, and responsive web integration.</w:t>
            </w:r>
          </w:p>
        </w:tc>
      </w:tr>
      <w:tr>
        <w:tc>
          <w:tcPr>
            <w:tcW w:type="dxa" w:w="2500"/>
            <w:shd w:fill="F2F5FA" w:color="auto" w:val="clear"/>
            <w:tcMar>
              <w:top w:type="dxa" w:w="90"/>
              <w:left w:type="dxa" w:w="120"/>
              <w:bottom w:type="dxa" w:w="90"/>
              <w:right w:type="dxa" w:w="120"/>
            </w:tcMar>
            <w:vAlign w:val="center"/>
          </w:tcPr>
          <w:p>
            <w:r>
              <w:rPr>
                <w:color w:val="333333"/>
                <w:sz w:val="18"/>
                <w:szCs w:val="18"/>
              </w:rPr>
              <w:t xml:space="preserve">ydata-profiling (Optional)</w:t>
            </w:r>
          </w:p>
        </w:tc>
        <w:tc>
          <w:tcPr>
            <w:tcW w:type="dxa" w:w="7780"/>
            <w:shd w:fill="F2F5FA" w:color="auto" w:val="clear"/>
            <w:tcMar>
              <w:top w:type="dxa" w:w="90"/>
              <w:left w:type="dxa" w:w="120"/>
              <w:bottom w:type="dxa" w:w="90"/>
              <w:right w:type="dxa" w:w="120"/>
            </w:tcMar>
            <w:vAlign w:val="center"/>
          </w:tcPr>
          <w:p>
            <w:r>
              <w:rPr>
                <w:color w:val="333333"/>
                <w:sz w:val="18"/>
                <w:szCs w:val="18"/>
              </w:rPr>
              <w:t xml:space="preserve">Automated initial profiling tool to generate comprehensive overview reports (distributions, missing values, duplicates) in HTML format.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B2A4A" w:color="auto" w:val="clear"/>
            <w:tcMar>
              <w:top w:type="dxa" w:w="140"/>
              <w:left w:type="dxa" w:w="180"/>
              <w:bottom w:type="dxa" w:w="140"/>
              <w:right w:type="dxa" w:w="180"/>
            </w:tcMar>
            <w:vAlign w:val="center"/>
          </w:tcPr>
          <w:p>
            <w:r>
              <w:rPr>
                <w:b/>
                <w:bCs/>
                <w:color w:val="FFFFFF"/>
                <w:sz w:val="26"/>
                <w:szCs w:val="26"/>
              </w:rPr>
              <w:t xml:space="preserve">6. Reporting, Documentation &amp; Communication Plan</w:t>
            </w:r>
          </w:p>
        </w:tc>
      </w:tr>
    </w:tbl>
    <w:p>
      <w:pPr>
        <w:spacing w:after="120"/>
      </w:pPr>
    </w:p>
    <w:p>
      <w:pPr>
        <w:spacing w:after="80"/>
      </w:pPr>
      <w:r>
        <w:rPr>
          <w:color w:val="333333"/>
          <w:sz w:val="21"/>
          <w:szCs w:val="21"/>
        </w:rPr>
        <w:t xml:space="preserve">A thorough EDA plan culminates in a structured diagnostic report designed for both technical and non-technical stakeholders.</w:t>
      </w:r>
    </w:p>
    <w:p>
      <w:pPr>
        <w:spacing w:after="80" w:before="200"/>
      </w:pPr>
      <w:r>
        <w:rPr>
          <w:b/>
          <w:bCs/>
          <w:color w:val="2E5AAC"/>
          <w:sz w:val="22"/>
          <w:szCs w:val="22"/>
        </w:rPr>
        <w:t xml:space="preserve">Structure of the Final EDA Report</w:t>
      </w:r>
    </w:p>
    <w:p>
      <w:pPr>
        <w:spacing w:after="80" w:before="200"/>
      </w:pPr>
      <w:r>
        <w:rPr>
          <w:b/>
          <w:bCs/>
          <w:color w:val="2E5AAC"/>
          <w:sz w:val="20"/>
          <w:szCs w:val="20"/>
        </w:rPr>
        <w:t xml:space="preserve">Executive Summary</w:t>
      </w:r>
    </w:p>
    <w:p>
      <w:pPr>
        <w:pStyle w:val="ListParagraph"/>
        <w:numPr>
          <w:ilvl w:val="0"/>
          <w:numId w:val="2"/>
        </w:numPr>
        <w:spacing w:after="60"/>
      </w:pPr>
      <w:r>
        <w:rPr>
          <w:color w:val="333333"/>
          <w:sz w:val="21"/>
          <w:szCs w:val="21"/>
        </w:rPr>
        <w:t xml:space="preserve">Overview of dataset scope, sample size, and high-level findings.</w:t>
      </w:r>
    </w:p>
    <w:p>
      <w:pPr>
        <w:pStyle w:val="ListParagraph"/>
        <w:numPr>
          <w:ilvl w:val="0"/>
          <w:numId w:val="2"/>
        </w:numPr>
        <w:spacing w:after="60"/>
      </w:pPr>
      <w:r>
        <w:rPr>
          <w:color w:val="333333"/>
          <w:sz w:val="21"/>
          <w:szCs w:val="21"/>
        </w:rPr>
        <w:t xml:space="preserve">Critical business insights and immediate data risks.</w:t>
      </w:r>
    </w:p>
    <w:p>
      <w:pPr>
        <w:spacing w:after="80" w:before="200"/>
      </w:pPr>
      <w:r>
        <w:rPr>
          <w:b/>
          <w:bCs/>
          <w:color w:val="2E5AAC"/>
          <w:sz w:val="20"/>
          <w:szCs w:val="20"/>
        </w:rPr>
        <w:t xml:space="preserve">Data Health &amp; Quality Diagnostics</w:t>
      </w:r>
    </w:p>
    <w:p>
      <w:pPr>
        <w:pStyle w:val="ListParagraph"/>
        <w:numPr>
          <w:ilvl w:val="0"/>
          <w:numId w:val="2"/>
        </w:numPr>
        <w:spacing w:after="60"/>
      </w:pPr>
      <w:r>
        <w:rPr>
          <w:color w:val="333333"/>
          <w:sz w:val="21"/>
          <w:szCs w:val="21"/>
        </w:rPr>
        <w:t xml:space="preserve">Summary of missingness patterns and implemented imputation strategies.</w:t>
      </w:r>
    </w:p>
    <w:p>
      <w:pPr>
        <w:pStyle w:val="ListParagraph"/>
        <w:numPr>
          <w:ilvl w:val="0"/>
          <w:numId w:val="2"/>
        </w:numPr>
        <w:spacing w:after="60"/>
      </w:pPr>
      <w:r>
        <w:rPr>
          <w:color w:val="333333"/>
          <w:sz w:val="21"/>
          <w:szCs w:val="21"/>
        </w:rPr>
        <w:t xml:space="preserve">Identified anomalies, outliers, and data collection issues.</w:t>
      </w:r>
    </w:p>
    <w:p>
      <w:pPr>
        <w:spacing w:after="80" w:before="200"/>
      </w:pPr>
      <w:r>
        <w:rPr>
          <w:b/>
          <w:bCs/>
          <w:color w:val="2E5AAC"/>
          <w:sz w:val="20"/>
          <w:szCs w:val="20"/>
        </w:rPr>
        <w:t xml:space="preserve">Feature Distribution &amp; Trend Analysis</w:t>
      </w:r>
    </w:p>
    <w:p>
      <w:pPr>
        <w:pStyle w:val="ListParagraph"/>
        <w:numPr>
          <w:ilvl w:val="0"/>
          <w:numId w:val="2"/>
        </w:numPr>
        <w:spacing w:after="60"/>
      </w:pPr>
      <w:r>
        <w:rPr>
          <w:color w:val="333333"/>
          <w:sz w:val="21"/>
          <w:szCs w:val="21"/>
        </w:rPr>
        <w:t xml:space="preserve">Core univariate insights (key variable distributions).</w:t>
      </w:r>
    </w:p>
    <w:p>
      <w:pPr>
        <w:pStyle w:val="ListParagraph"/>
        <w:numPr>
          <w:ilvl w:val="0"/>
          <w:numId w:val="2"/>
        </w:numPr>
        <w:spacing w:after="60"/>
      </w:pPr>
      <w:r>
        <w:rPr>
          <w:color w:val="333333"/>
          <w:sz w:val="21"/>
          <w:szCs w:val="21"/>
        </w:rPr>
        <w:t xml:space="preserve">Key bivariate and multivariate relationships illustrated with annotated visual plots.</w:t>
      </w:r>
    </w:p>
    <w:p>
      <w:pPr>
        <w:spacing w:after="80" w:before="200"/>
      </w:pPr>
      <w:r>
        <w:rPr>
          <w:b/>
          <w:bCs/>
          <w:color w:val="2E5AAC"/>
          <w:sz w:val="20"/>
          <w:szCs w:val="20"/>
        </w:rPr>
        <w:t xml:space="preserve">Actionable Recommendations for Next Phases</w:t>
      </w:r>
    </w:p>
    <w:p>
      <w:pPr>
        <w:pStyle w:val="ListParagraph"/>
        <w:numPr>
          <w:ilvl w:val="0"/>
          <w:numId w:val="2"/>
        </w:numPr>
        <w:spacing w:after="60"/>
      </w:pPr>
      <w:r>
        <w:rPr>
          <w:color w:val="333333"/>
          <w:sz w:val="21"/>
          <w:szCs w:val="21"/>
        </w:rPr>
        <w:t xml:space="preserve">Candidate features for transformation, encoding, or engineering.</w:t>
      </w:r>
    </w:p>
    <w:p>
      <w:pPr>
        <w:pStyle w:val="ListParagraph"/>
        <w:numPr>
          <w:ilvl w:val="0"/>
          <w:numId w:val="2"/>
        </w:numPr>
        <w:spacing w:after="60"/>
      </w:pPr>
      <w:r>
        <w:rPr>
          <w:color w:val="333333"/>
          <w:sz w:val="21"/>
          <w:szCs w:val="21"/>
        </w:rPr>
        <w:t xml:space="preserve">Recommendations on algorithm selection based on data characteristics (e.g., non-linear models for non-normal continuous features).</w:t>
      </w:r>
    </w:p>
    <w:sectPr>
      <w:headerReference w:type="default" r:id="rId7"/>
      <w:footerReference w:type="default" r:id="rId8"/>
      <w:pgSz w:w="12240" w:h="15840" w:orient="portrait"/>
      <w:pgMar w:top="1224"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pBdr>
    </w:pPr>
    <w:r>
      <w:rPr>
        <w:color w:val="999999"/>
        <w:sz w:val="16"/>
        <w:szCs w:val="16"/>
      </w:rPr>
      <w:t xml:space="preserve">EDA &amp; Visualization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afd1225e08fbd8c5ad8e3a4fa9d10e0edd0ee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2026-08-14T16:52:39.242Z</dcterms:created>
  <dcterms:modified xsi:type="dcterms:W3CDTF">2026-08-14T16:52:39.263Z</dcterms:modified>
</cp:coreProperties>
</file>

<file path=docProps/custom.xml><?xml version="1.0" encoding="utf-8"?>
<Properties xmlns="http://schemas.openxmlformats.org/officeDocument/2006/custom-properties" xmlns:vt="http://schemas.openxmlformats.org/officeDocument/2006/docPropsVTypes"/>
</file>