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494F" w:rsidRPr="00F7306C" w:rsidRDefault="00124CAE" w:rsidP="00F7306C">
      <w:pPr>
        <w:pStyle w:val="NormalParagraph"/>
        <w:spacing w:line="480" w:lineRule="auto"/>
        <w:rPr>
          <w:b/>
        </w:rPr>
      </w:pPr>
      <w:r w:rsidRPr="00373459">
        <w:rPr>
          <w:b/>
        </w:rPr>
        <w:t xml:space="preserve">Table </w:t>
      </w:r>
      <w:r w:rsidR="0043763B">
        <w:rPr>
          <w:b/>
        </w:rPr>
        <w:t>S6</w:t>
      </w:r>
      <w:r w:rsidRPr="00373459">
        <w:rPr>
          <w:b/>
        </w:rPr>
        <w:t xml:space="preserve">. </w:t>
      </w:r>
      <w:r w:rsidR="00D60EBF">
        <w:t xml:space="preserve">Gene names and database </w:t>
      </w:r>
      <w:r w:rsidR="00D60EBF">
        <w:t>identifiers used in this study</w:t>
      </w:r>
      <w:r w:rsidR="00D60EBF">
        <w:t>. EC: Enzyme Classification; KO: Kyoto Encyclopedia of Genes and Genomes</w:t>
      </w:r>
      <w:r w:rsidR="00F94E2C">
        <w:rPr>
          <w:bCs/>
        </w:rPr>
        <w:t>.</w:t>
      </w:r>
      <w:r w:rsidR="00D60EBF">
        <w:rPr>
          <w:bCs/>
        </w:rPr>
        <w:t xml:space="preserve"> Colors signify functional group as defined in </w:t>
      </w:r>
      <w:r w:rsidR="00D60EBF" w:rsidRPr="00D60EBF">
        <w:rPr>
          <w:b/>
        </w:rPr>
        <w:t>Fig. 1</w:t>
      </w:r>
      <w:r w:rsidR="00D60EBF">
        <w:rPr>
          <w:bCs/>
        </w:rPr>
        <w:t>.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880"/>
        <w:gridCol w:w="1158"/>
        <w:gridCol w:w="3150"/>
      </w:tblGrid>
      <w:tr w:rsidR="00124CAE" w:rsidRPr="00D60EBF" w:rsidTr="00EE0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4CAE" w:rsidRPr="00D60EBF" w:rsidRDefault="00D60EBF" w:rsidP="0094561C">
            <w:pPr>
              <w:jc w:val="left"/>
              <w:rPr>
                <w:bCs w:val="0"/>
              </w:rPr>
            </w:pPr>
            <w:r w:rsidRPr="00D60EBF">
              <w:rPr>
                <w:bCs w:val="0"/>
              </w:rPr>
              <w:t>Gene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CAE" w:rsidRPr="00D60EBF" w:rsidRDefault="00D60EBF" w:rsidP="009456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60EBF">
              <w:rPr>
                <w:bCs w:val="0"/>
              </w:rPr>
              <w:t>Database I</w:t>
            </w:r>
            <w:r w:rsidR="0094561C">
              <w:rPr>
                <w:bCs w:val="0"/>
              </w:rPr>
              <w:t>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CAE" w:rsidRPr="00D60EBF" w:rsidRDefault="00D60EBF" w:rsidP="009456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60EBF">
              <w:rPr>
                <w:bCs w:val="0"/>
              </w:rPr>
              <w:t>Gene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4CAE" w:rsidRPr="00D60EBF" w:rsidRDefault="00D60EBF" w:rsidP="009456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60EBF">
              <w:rPr>
                <w:bCs w:val="0"/>
              </w:rPr>
              <w:t xml:space="preserve">Database </w:t>
            </w:r>
            <w:r w:rsidR="0094561C">
              <w:rPr>
                <w:bCs w:val="0"/>
              </w:rPr>
              <w:t>ID</w:t>
            </w:r>
          </w:p>
        </w:tc>
      </w:tr>
      <w:tr w:rsidR="0094561C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single" w:sz="4" w:space="0" w:color="auto"/>
            </w:tcBorders>
            <w:vAlign w:val="center"/>
          </w:tcPr>
          <w:p w:rsidR="00930025" w:rsidRPr="00930025" w:rsidRDefault="00930025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ED7D31" w:themeColor="accent2"/>
                <w:sz w:val="24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  <w:t>amoA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0025" w:rsidRPr="00930025" w:rsidRDefault="00930025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930025">
              <w:rPr>
                <w:rFonts w:cs="Arial"/>
                <w:color w:val="000000"/>
              </w:rPr>
              <w:t>KO:K10944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0025" w:rsidRPr="00FC2F2B" w:rsidRDefault="00930025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002060"/>
                <w:sz w:val="24"/>
              </w:rPr>
            </w:pPr>
            <w:proofErr w:type="spellStart"/>
            <w:r w:rsidRPr="00FC2F2B">
              <w:rPr>
                <w:rFonts w:cs="Arial"/>
                <w:i/>
                <w:iCs/>
                <w:color w:val="002060"/>
              </w:rPr>
              <w:t>nasA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930025" w:rsidRPr="00FC2F2B" w:rsidRDefault="00930025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KO:K00372</w:t>
            </w:r>
          </w:p>
        </w:tc>
      </w:tr>
      <w:tr w:rsidR="00930025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30025" w:rsidRPr="00930025" w:rsidRDefault="00930025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  <w:t>amoB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930025" w:rsidRPr="00930025" w:rsidRDefault="00930025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KO:K10945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930025" w:rsidRPr="00FC2F2B" w:rsidRDefault="00930025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002060"/>
              </w:rPr>
            </w:pPr>
            <w:proofErr w:type="spellStart"/>
            <w:r w:rsidRPr="00FC2F2B">
              <w:rPr>
                <w:rFonts w:cs="Arial"/>
                <w:i/>
                <w:iCs/>
                <w:color w:val="002060"/>
              </w:rPr>
              <w:t>nasB</w:t>
            </w:r>
            <w:proofErr w:type="spellEnd"/>
          </w:p>
        </w:tc>
        <w:tc>
          <w:tcPr>
            <w:tcW w:w="3150" w:type="dxa"/>
            <w:vAlign w:val="center"/>
          </w:tcPr>
          <w:p w:rsidR="00930025" w:rsidRPr="00FC2F2B" w:rsidRDefault="00930025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KO:K00360</w:t>
            </w:r>
          </w:p>
        </w:tc>
      </w:tr>
      <w:tr w:rsidR="00930025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30025" w:rsidRPr="00930025" w:rsidRDefault="00930025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  <w:t>amoC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930025" w:rsidRPr="00930025" w:rsidRDefault="00930025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KO:K10946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930025" w:rsidRPr="00FC2F2B" w:rsidRDefault="00930025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002060"/>
              </w:rPr>
            </w:pPr>
            <w:proofErr w:type="spellStart"/>
            <w:r w:rsidRPr="00FC2F2B">
              <w:rPr>
                <w:rFonts w:cs="Arial"/>
                <w:i/>
                <w:iCs/>
                <w:color w:val="002060"/>
              </w:rPr>
              <w:t>narB</w:t>
            </w:r>
            <w:proofErr w:type="spellEnd"/>
          </w:p>
        </w:tc>
        <w:tc>
          <w:tcPr>
            <w:tcW w:w="3150" w:type="dxa"/>
            <w:vAlign w:val="center"/>
          </w:tcPr>
          <w:p w:rsidR="00930025" w:rsidRPr="00FC2F2B" w:rsidRDefault="00930025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KO:K00367</w:t>
            </w:r>
          </w:p>
        </w:tc>
      </w:tr>
      <w:tr w:rsidR="00930025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930025" w:rsidRPr="00930025" w:rsidRDefault="00930025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  <w:t>hao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930025" w:rsidRPr="00930025" w:rsidRDefault="00930025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EC:1.7.2.6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930025" w:rsidRPr="00FC2F2B" w:rsidRDefault="00930025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002060"/>
              </w:rPr>
            </w:pPr>
            <w:proofErr w:type="spellStart"/>
            <w:r w:rsidRPr="00FC2F2B">
              <w:rPr>
                <w:rFonts w:cs="Arial"/>
                <w:i/>
                <w:iCs/>
                <w:color w:val="002060"/>
              </w:rPr>
              <w:t>nirA</w:t>
            </w:r>
            <w:proofErr w:type="spellEnd"/>
          </w:p>
        </w:tc>
        <w:tc>
          <w:tcPr>
            <w:tcW w:w="3150" w:type="dxa"/>
            <w:vAlign w:val="center"/>
          </w:tcPr>
          <w:p w:rsidR="00930025" w:rsidRPr="00FC2F2B" w:rsidRDefault="00930025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KO:K00366</w:t>
            </w:r>
          </w:p>
        </w:tc>
      </w:tr>
      <w:tr w:rsidR="00FC2F2B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  <w:t>nxrA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KO:K00370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sz w:val="24"/>
              </w:rPr>
            </w:pPr>
            <w:proofErr w:type="spellStart"/>
            <w:r w:rsidRPr="00FC2F2B">
              <w:rPr>
                <w:rFonts w:cs="Arial"/>
                <w:i/>
                <w:iCs/>
              </w:rPr>
              <w:t>nao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C2F2B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ED7D31" w:themeColor="accent2"/>
              </w:rPr>
              <w:t>nxrB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KO:K00371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sz w:val="24"/>
                <w:szCs w:val="24"/>
              </w:rPr>
            </w:pPr>
            <w:proofErr w:type="spellStart"/>
            <w:r w:rsidRPr="00FC2F2B">
              <w:rPr>
                <w:rFonts w:cs="Arial"/>
                <w:i/>
                <w:iCs/>
              </w:rPr>
              <w:t>nmoA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C2F2B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  <w:sz w:val="24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narG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930025">
              <w:rPr>
                <w:rFonts w:cs="Arial"/>
                <w:color w:val="000000"/>
              </w:rPr>
              <w:t>KO:K00370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sz w:val="24"/>
                <w:szCs w:val="24"/>
              </w:rPr>
            </w:pPr>
            <w:proofErr w:type="spellStart"/>
            <w:r w:rsidRPr="00FC2F2B">
              <w:rPr>
                <w:rFonts w:cs="Arial"/>
                <w:i/>
                <w:iCs/>
              </w:rPr>
              <w:t>nmoB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C2F2B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narH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KO:K00371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8F00" w:themeColor="accent4" w:themeShade="BF"/>
                <w:sz w:val="24"/>
                <w:szCs w:val="24"/>
              </w:rPr>
            </w:pPr>
            <w:proofErr w:type="spellStart"/>
            <w:r w:rsidRPr="00FC2F2B">
              <w:rPr>
                <w:rFonts w:cs="Arial"/>
                <w:i/>
                <w:iCs/>
                <w:color w:val="BF8F00" w:themeColor="accent4" w:themeShade="BF"/>
              </w:rPr>
              <w:t>nifD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KO:K02586</w:t>
            </w:r>
          </w:p>
        </w:tc>
      </w:tr>
      <w:tr w:rsidR="00FC2F2B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narI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KO:K00374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BF8F00" w:themeColor="accent4" w:themeShade="BF"/>
              </w:rPr>
            </w:pPr>
            <w:proofErr w:type="spellStart"/>
            <w:r w:rsidRPr="00FC2F2B">
              <w:rPr>
                <w:rFonts w:cs="Arial"/>
                <w:i/>
                <w:iCs/>
                <w:color w:val="BF8F00" w:themeColor="accent4" w:themeShade="BF"/>
              </w:rPr>
              <w:t>nifK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KO:K02591</w:t>
            </w:r>
          </w:p>
        </w:tc>
      </w:tr>
      <w:tr w:rsidR="00FC2F2B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narJ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KO:K00373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BF8F00" w:themeColor="accent4" w:themeShade="BF"/>
              </w:rPr>
            </w:pPr>
            <w:proofErr w:type="spellStart"/>
            <w:r w:rsidRPr="00FC2F2B">
              <w:rPr>
                <w:rFonts w:cs="Arial"/>
                <w:i/>
                <w:iCs/>
                <w:color w:val="BF8F00" w:themeColor="accent4" w:themeShade="BF"/>
              </w:rPr>
              <w:t>nifH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KO:K02588</w:t>
            </w:r>
          </w:p>
        </w:tc>
      </w:tr>
      <w:tr w:rsidR="00FC2F2B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napA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KO:K02567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808080" w:themeColor="background1" w:themeShade="80"/>
              </w:rPr>
            </w:pPr>
            <w:proofErr w:type="spellStart"/>
            <w:r w:rsidRPr="00FC2F2B">
              <w:rPr>
                <w:rFonts w:cs="Arial"/>
                <w:i/>
                <w:iCs/>
                <w:color w:val="808080" w:themeColor="background1" w:themeShade="80"/>
              </w:rPr>
              <w:t>nrtA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KO:K15576</w:t>
            </w:r>
          </w:p>
        </w:tc>
      </w:tr>
      <w:tr w:rsidR="00FC2F2B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napB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KO:K02568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808080" w:themeColor="background1" w:themeShade="80"/>
              </w:rPr>
            </w:pPr>
            <w:proofErr w:type="spellStart"/>
            <w:r w:rsidRPr="00FC2F2B">
              <w:rPr>
                <w:rFonts w:cs="Arial"/>
                <w:i/>
                <w:iCs/>
                <w:color w:val="808080" w:themeColor="background1" w:themeShade="80"/>
              </w:rPr>
              <w:t>nrtB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KO:K15577</w:t>
            </w:r>
          </w:p>
        </w:tc>
      </w:tr>
      <w:tr w:rsidR="0094561C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napC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808080" w:themeColor="background1" w:themeShade="80"/>
              </w:rPr>
            </w:pPr>
            <w:proofErr w:type="spellStart"/>
            <w:r w:rsidRPr="00FC2F2B">
              <w:rPr>
                <w:rFonts w:cs="Arial"/>
                <w:i/>
                <w:iCs/>
                <w:color w:val="808080" w:themeColor="background1" w:themeShade="80"/>
              </w:rPr>
              <w:t>nrtC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KO:K15578</w:t>
            </w:r>
          </w:p>
        </w:tc>
      </w:tr>
      <w:tr w:rsidR="00FC2F2B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  <w:sz w:val="24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nirK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930025">
              <w:rPr>
                <w:rFonts w:cs="Arial"/>
                <w:color w:val="000000"/>
              </w:rPr>
              <w:t>KO:K00368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808080" w:themeColor="background1" w:themeShade="80"/>
              </w:rPr>
            </w:pPr>
            <w:proofErr w:type="spellStart"/>
            <w:r w:rsidRPr="00FC2F2B">
              <w:rPr>
                <w:rFonts w:cs="Arial"/>
                <w:i/>
                <w:iCs/>
                <w:color w:val="808080" w:themeColor="background1" w:themeShade="80"/>
              </w:rPr>
              <w:t>nrtD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KO:K15579</w:t>
            </w:r>
          </w:p>
        </w:tc>
      </w:tr>
      <w:tr w:rsidR="00FC2F2B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nirS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KO:K15864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7030A0"/>
                <w:sz w:val="24"/>
              </w:rPr>
            </w:pPr>
            <w:proofErr w:type="spellStart"/>
            <w:r w:rsidRPr="00FC2F2B">
              <w:rPr>
                <w:rFonts w:cs="Arial"/>
                <w:i/>
                <w:iCs/>
                <w:color w:val="7030A0"/>
              </w:rPr>
              <w:t>nmoB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EC:1.14.14.10</w:t>
            </w:r>
          </w:p>
        </w:tc>
      </w:tr>
      <w:tr w:rsidR="00FC2F2B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norB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KO:K04561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7030A0"/>
              </w:rPr>
            </w:pPr>
            <w:proofErr w:type="spellStart"/>
            <w:r w:rsidRPr="00FC2F2B">
              <w:rPr>
                <w:rFonts w:cs="Arial"/>
                <w:i/>
                <w:iCs/>
                <w:color w:val="7030A0"/>
              </w:rPr>
              <w:t>gdhA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EC:1.4.1.3</w:t>
            </w:r>
          </w:p>
        </w:tc>
      </w:tr>
      <w:tr w:rsidR="00FC2F2B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norC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KO:K02305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7030A0"/>
              </w:rPr>
            </w:pPr>
            <w:proofErr w:type="spellStart"/>
            <w:r w:rsidRPr="00FC2F2B">
              <w:rPr>
                <w:rFonts w:cs="Arial"/>
                <w:i/>
                <w:iCs/>
                <w:color w:val="7030A0"/>
              </w:rPr>
              <w:t>gdhB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EC:1.4.1.4</w:t>
            </w:r>
          </w:p>
        </w:tc>
      </w:tr>
      <w:tr w:rsidR="00FC2F2B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538135" w:themeColor="accent6" w:themeShade="BF"/>
              </w:rPr>
              <w:t>nosZ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KO:K00376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7030A0"/>
              </w:rPr>
            </w:pPr>
            <w:proofErr w:type="spellStart"/>
            <w:r w:rsidRPr="00FC2F2B">
              <w:rPr>
                <w:rFonts w:cs="Arial"/>
                <w:i/>
                <w:iCs/>
                <w:color w:val="7030A0"/>
              </w:rPr>
              <w:t>nmoA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EC:1.5.1.42</w:t>
            </w:r>
          </w:p>
        </w:tc>
      </w:tr>
      <w:tr w:rsidR="00FC2F2B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0070C0"/>
                <w:sz w:val="24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0070C0"/>
              </w:rPr>
              <w:t>nrfA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KO:K03385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7030A0"/>
              </w:rPr>
            </w:pPr>
            <w:proofErr w:type="spellStart"/>
            <w:r w:rsidRPr="00FC2F2B">
              <w:rPr>
                <w:rFonts w:cs="Arial"/>
                <w:i/>
                <w:iCs/>
                <w:color w:val="7030A0"/>
              </w:rPr>
              <w:t>nao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EC:1.7.3.1</w:t>
            </w:r>
          </w:p>
        </w:tc>
      </w:tr>
      <w:tr w:rsidR="00FC2F2B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0070C0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0070C0"/>
              </w:rPr>
              <w:t>nrfH</w:t>
            </w:r>
            <w:proofErr w:type="spellEnd"/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KO:K15876</w:t>
            </w:r>
          </w:p>
        </w:tc>
        <w:tc>
          <w:tcPr>
            <w:tcW w:w="1158" w:type="dxa"/>
            <w:tcBorders>
              <w:left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7030A0"/>
              </w:rPr>
            </w:pPr>
            <w:proofErr w:type="spellStart"/>
            <w:r w:rsidRPr="00FC2F2B">
              <w:rPr>
                <w:rFonts w:cs="Arial"/>
                <w:i/>
                <w:iCs/>
                <w:color w:val="7030A0"/>
              </w:rPr>
              <w:t>glnA</w:t>
            </w:r>
            <w:proofErr w:type="spellEnd"/>
          </w:p>
        </w:tc>
        <w:tc>
          <w:tcPr>
            <w:tcW w:w="3150" w:type="dxa"/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EC:2.7.7.42</w:t>
            </w:r>
          </w:p>
        </w:tc>
      </w:tr>
      <w:tr w:rsidR="00FC2F2B" w:rsidTr="0094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bottom w:val="nil"/>
            </w:tcBorders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0070C0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0070C0"/>
              </w:rPr>
              <w:t>nirB</w:t>
            </w:r>
            <w:proofErr w:type="spellEnd"/>
          </w:p>
        </w:tc>
        <w:tc>
          <w:tcPr>
            <w:tcW w:w="2880" w:type="dxa"/>
            <w:tcBorders>
              <w:bottom w:val="nil"/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KO:K00362</w:t>
            </w:r>
          </w:p>
        </w:tc>
        <w:tc>
          <w:tcPr>
            <w:tcW w:w="1158" w:type="dxa"/>
            <w:tcBorders>
              <w:left w:val="single" w:sz="4" w:space="0" w:color="auto"/>
              <w:bottom w:val="nil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7030A0"/>
              </w:rPr>
            </w:pPr>
            <w:proofErr w:type="spellStart"/>
            <w:r w:rsidRPr="00FC2F2B">
              <w:rPr>
                <w:rFonts w:cs="Arial"/>
                <w:i/>
                <w:iCs/>
                <w:color w:val="7030A0"/>
              </w:rPr>
              <w:t>ureC</w:t>
            </w:r>
            <w:proofErr w:type="spellEnd"/>
          </w:p>
        </w:tc>
        <w:tc>
          <w:tcPr>
            <w:tcW w:w="3150" w:type="dxa"/>
            <w:tcBorders>
              <w:bottom w:val="nil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EC:3.5.1.5</w:t>
            </w:r>
          </w:p>
        </w:tc>
      </w:tr>
      <w:tr w:rsidR="00FC2F2B" w:rsidTr="0094561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il"/>
              <w:bottom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rPr>
                <w:rFonts w:cs="Arial"/>
                <w:b w:val="0"/>
                <w:bCs w:val="0"/>
                <w:i/>
                <w:iCs/>
                <w:color w:val="0070C0"/>
              </w:rPr>
            </w:pPr>
            <w:proofErr w:type="spellStart"/>
            <w:r w:rsidRPr="00930025">
              <w:rPr>
                <w:rFonts w:cs="Arial"/>
                <w:b w:val="0"/>
                <w:bCs w:val="0"/>
                <w:i/>
                <w:iCs/>
                <w:color w:val="0070C0"/>
              </w:rPr>
              <w:t>nirD</w:t>
            </w:r>
            <w:proofErr w:type="spellEnd"/>
          </w:p>
        </w:tc>
        <w:tc>
          <w:tcPr>
            <w:tcW w:w="288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2F2B" w:rsidRPr="00930025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930025">
              <w:rPr>
                <w:rFonts w:cs="Arial"/>
                <w:color w:val="000000"/>
              </w:rPr>
              <w:t>KO:K00363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iCs/>
                <w:color w:val="7030A0"/>
              </w:rPr>
            </w:pPr>
            <w:proofErr w:type="spellStart"/>
            <w:r w:rsidRPr="00FC2F2B">
              <w:rPr>
                <w:rFonts w:cs="Arial"/>
                <w:i/>
                <w:iCs/>
                <w:color w:val="7030A0"/>
              </w:rPr>
              <w:t>glnR</w:t>
            </w:r>
            <w:proofErr w:type="spellEnd"/>
          </w:p>
        </w:tc>
        <w:tc>
          <w:tcPr>
            <w:tcW w:w="3150" w:type="dxa"/>
            <w:tcBorders>
              <w:top w:val="nil"/>
              <w:bottom w:val="single" w:sz="4" w:space="0" w:color="auto"/>
            </w:tcBorders>
            <w:vAlign w:val="center"/>
          </w:tcPr>
          <w:p w:rsidR="00FC2F2B" w:rsidRPr="00FC2F2B" w:rsidRDefault="00FC2F2B" w:rsidP="009456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FC2F2B">
              <w:rPr>
                <w:rFonts w:cs="Arial"/>
                <w:color w:val="000000"/>
              </w:rPr>
              <w:t>EC:6.3.1.2</w:t>
            </w:r>
          </w:p>
        </w:tc>
      </w:tr>
    </w:tbl>
    <w:p w:rsidR="0094561C" w:rsidRDefault="0094561C"/>
    <w:p w:rsidR="0094561C" w:rsidRDefault="0094561C">
      <w:pPr>
        <w:jc w:val="left"/>
      </w:pPr>
      <w:r>
        <w:br w:type="page"/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565"/>
        <w:gridCol w:w="1800"/>
      </w:tblGrid>
      <w:tr w:rsidR="00EE0E70" w:rsidRPr="00D60EBF" w:rsidTr="00EE0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0E70" w:rsidRPr="00D60EBF" w:rsidRDefault="00EE0E70" w:rsidP="00B141A0">
            <w:pPr>
              <w:jc w:val="left"/>
              <w:rPr>
                <w:bCs w:val="0"/>
              </w:rPr>
            </w:pPr>
            <w:r w:rsidRPr="00D60EBF">
              <w:rPr>
                <w:bCs w:val="0"/>
              </w:rPr>
              <w:lastRenderedPageBreak/>
              <w:t>Gene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70" w:rsidRPr="00D60EBF" w:rsidRDefault="00EE0E70" w:rsidP="00B141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D60EBF">
              <w:rPr>
                <w:bCs w:val="0"/>
              </w:rPr>
              <w:t>Database I</w:t>
            </w:r>
            <w:r>
              <w:rPr>
                <w:bCs w:val="0"/>
              </w:rPr>
              <w:t>D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tcBorders>
              <w:top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Alpha-amylase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EC:3.2.1.1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Glucan 1,4-alpha-glucosidase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EC:3.2.1.3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Neopullulanase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EC:3.2.1.135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Pullulanase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EC:3.2.1.41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UDP-</w:t>
            </w: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arabinopyranose</w:t>
            </w:r>
            <w:proofErr w:type="spellEnd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 xml:space="preserve"> mutase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EC:5.4.99.30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Beta-glucosidase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EC:3.2.1.21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Endo-1,4-beta-xylanase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EC:3.2.1.8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Cellulase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EC:3.2.1.4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Cellulose 1,4-beta-cellobiosidase (non-reducing end)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EC:3.2.1.91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Limonene-1,2-epoxide hydrolase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EC:3.3.2.8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Vanillate</w:t>
            </w:r>
            <w:proofErr w:type="spellEnd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 xml:space="preserve"> monooxygenase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EC:1.14.13.82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Mannosyl</w:t>
            </w:r>
            <w:proofErr w:type="spellEnd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-glycoprotein endo-beta-N-</w:t>
            </w: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acetylglucosaminidase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EC:3.2.1.96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Chitinase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EC:3.2.1.14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Lignin peroxidase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EC:1.11.1.14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Tyrosinase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EC:1.14.18.1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Peroxidase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EC:1.11.1.7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Choline dehydrogenase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EC:1.1.99.1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Catalase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EC:1.11.1.6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Gentisate 1,2-dioxygenase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EC:1.13.11.4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Superoxide dismutase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EC:1.15.1.1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tcBorders>
              <w:bottom w:val="nil"/>
            </w:tcBorders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Betaine-aldehyde dehydrogenase</w:t>
            </w:r>
          </w:p>
        </w:tc>
        <w:tc>
          <w:tcPr>
            <w:tcW w:w="1800" w:type="dxa"/>
            <w:tcBorders>
              <w:bottom w:val="nil"/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EC:1.2.1.8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tcBorders>
              <w:top w:val="nil"/>
              <w:bottom w:val="nil"/>
            </w:tcBorders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Oxidoreductases. Acting on the CH-NH(2) group of donors</w:t>
            </w:r>
          </w:p>
        </w:tc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EC:1.4.3.-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tcBorders>
              <w:top w:val="nil"/>
              <w:bottom w:val="nil"/>
            </w:tcBorders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Oxidoreductases. Acting on the CH-NH group of donors</w:t>
            </w:r>
          </w:p>
        </w:tc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EC:1.5.3.-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tcBorders>
              <w:top w:val="nil"/>
              <w:bottom w:val="nil"/>
            </w:tcBorders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Alpha,alpha</w:t>
            </w:r>
            <w:proofErr w:type="spellEnd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-</w:t>
            </w: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trehalose</w:t>
            </w:r>
            <w:proofErr w:type="spellEnd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-phosphate synthase (UDP-forming)</w:t>
            </w:r>
          </w:p>
        </w:tc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EC:2.4.1.15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tcBorders>
              <w:top w:val="nil"/>
              <w:bottom w:val="nil"/>
            </w:tcBorders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Trehalose</w:t>
            </w:r>
            <w:proofErr w:type="spellEnd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-phosphatase</w:t>
            </w:r>
          </w:p>
        </w:tc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EC:3.1.3.12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tcBorders>
              <w:top w:val="nil"/>
              <w:bottom w:val="nil"/>
            </w:tcBorders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Hydrolases. Glycosylases. Glycosidases</w:t>
            </w:r>
          </w:p>
        </w:tc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EC:3.2.1.-</w:t>
            </w:r>
          </w:p>
        </w:tc>
      </w:tr>
      <w:tr w:rsidR="00EE0E70" w:rsidTr="00E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tcBorders>
              <w:top w:val="nil"/>
              <w:bottom w:val="nil"/>
            </w:tcBorders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4-alpha-D-((1-&gt;4)-alpha-D-</w:t>
            </w: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glucano</w:t>
            </w:r>
            <w:proofErr w:type="spellEnd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)</w:t>
            </w: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trehalose</w:t>
            </w:r>
            <w:proofErr w:type="spellEnd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 xml:space="preserve"> </w:t>
            </w:r>
            <w:proofErr w:type="spellStart"/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trehalohydrolase</w:t>
            </w:r>
            <w:proofErr w:type="spellEnd"/>
          </w:p>
        </w:tc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EC:3.2.1.141</w:t>
            </w:r>
          </w:p>
        </w:tc>
      </w:tr>
      <w:tr w:rsidR="00EE0E70" w:rsidTr="00EE0E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  <w:tcBorders>
              <w:top w:val="nil"/>
              <w:bottom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rPr>
                <w:rFonts w:cs="Arial"/>
                <w:b w:val="0"/>
                <w:bCs w:val="0"/>
                <w:color w:val="000000"/>
                <w:szCs w:val="22"/>
              </w:rPr>
            </w:pPr>
            <w:r w:rsidRPr="00EE0E70">
              <w:rPr>
                <w:rFonts w:cs="Arial"/>
                <w:b w:val="0"/>
                <w:bCs w:val="0"/>
                <w:color w:val="000000"/>
                <w:szCs w:val="22"/>
              </w:rPr>
              <w:t>Maltose alpha-D-glucosyltransferase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0E70" w:rsidRPr="00EE0E70" w:rsidRDefault="00EE0E70" w:rsidP="00EE0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2"/>
              </w:rPr>
            </w:pPr>
            <w:r w:rsidRPr="00EE0E70">
              <w:rPr>
                <w:rFonts w:cs="Arial"/>
                <w:color w:val="000000"/>
                <w:szCs w:val="22"/>
              </w:rPr>
              <w:t>EC:5.4.99.16</w:t>
            </w:r>
          </w:p>
        </w:tc>
      </w:tr>
    </w:tbl>
    <w:p w:rsidR="00124CAE" w:rsidRDefault="00124CAE"/>
    <w:sectPr w:rsidR="00124CAE" w:rsidSect="0027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AE"/>
    <w:rsid w:val="00124CAE"/>
    <w:rsid w:val="001A414E"/>
    <w:rsid w:val="00274E2F"/>
    <w:rsid w:val="002B14BF"/>
    <w:rsid w:val="003C27CE"/>
    <w:rsid w:val="0043763B"/>
    <w:rsid w:val="006E0DE7"/>
    <w:rsid w:val="00783E9A"/>
    <w:rsid w:val="007B144C"/>
    <w:rsid w:val="00930025"/>
    <w:rsid w:val="0094561C"/>
    <w:rsid w:val="00974676"/>
    <w:rsid w:val="00A95B9B"/>
    <w:rsid w:val="00B6494F"/>
    <w:rsid w:val="00B848D7"/>
    <w:rsid w:val="00C93851"/>
    <w:rsid w:val="00CD4C5E"/>
    <w:rsid w:val="00D60EBF"/>
    <w:rsid w:val="00E67095"/>
    <w:rsid w:val="00E84911"/>
    <w:rsid w:val="00EE0E70"/>
    <w:rsid w:val="00F7306C"/>
    <w:rsid w:val="00F94E2C"/>
    <w:rsid w:val="00FC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6BA07"/>
  <w15:chartTrackingRefBased/>
  <w15:docId w15:val="{0F5055D6-7169-3B47-8A7E-9A6606B0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676"/>
    <w:pPr>
      <w:jc w:val="both"/>
    </w:pPr>
    <w:rPr>
      <w:rFonts w:ascii="Arial" w:hAnsi="Arial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">
    <w:name w:val="Normal Paragraph"/>
    <w:basedOn w:val="Normal"/>
    <w:autoRedefine/>
    <w:qFormat/>
    <w:rsid w:val="001A414E"/>
    <w:pPr>
      <w:spacing w:before="120" w:after="120"/>
    </w:pPr>
    <w:rPr>
      <w:rFonts w:cs="Arial"/>
      <w:w w:val="95"/>
      <w:szCs w:val="22"/>
    </w:rPr>
  </w:style>
  <w:style w:type="table" w:styleId="TableGrid">
    <w:name w:val="Table Grid"/>
    <w:basedOn w:val="TableNormal"/>
    <w:uiPriority w:val="39"/>
    <w:rsid w:val="00124CAE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24C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0E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Driscoll</dc:creator>
  <cp:keywords/>
  <dc:description/>
  <cp:lastModifiedBy>Timothy Driscoll</cp:lastModifiedBy>
  <cp:revision>13</cp:revision>
  <dcterms:created xsi:type="dcterms:W3CDTF">2020-06-13T01:48:00Z</dcterms:created>
  <dcterms:modified xsi:type="dcterms:W3CDTF">2020-06-13T16:39:00Z</dcterms:modified>
</cp:coreProperties>
</file>