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Lid I5 North Advisory Committee Goals</w:t>
      </w:r>
    </w:p>
    <w:p>
      <w:r>
        <w:t>Proposed goals for discussion and adoption</w:t>
      </w:r>
    </w:p>
    <w:p>
      <w:r>
        <w:t>The Community Advisory Board will help shape a credible, community-informed path for Lid I-5 North. During the preliminary studies, the committee will review the evidence, bring forward community priorities, and recommend next steps to UDP and the project team. These goals provide a proposed work program for that advisory role.</w:t>
      </w:r>
    </w:p>
    <w:p>
      <w:pPr>
        <w:pStyle w:val="Heading2"/>
      </w:pPr>
      <w:r>
        <w:t>1 Establish shared priorities</w:t>
      </w:r>
    </w:p>
    <w:p>
      <w:r>
        <w:t>Recommend project goals and criteria for comparing alternatives, including neighborhood reconnection, accessible walking and biking routes, useful public space, health and safety, financial feasibility, and equitable community benefit. Use these criteria consistently as the studies develop.</w:t>
      </w:r>
    </w:p>
    <w:p>
      <w:pPr>
        <w:pStyle w:val="Heading2"/>
      </w:pPr>
      <w:r>
        <w:t>2 Review preliminary studies and alternatives</w:t>
      </w:r>
    </w:p>
    <w:p>
      <w:r>
        <w:t>Review proposed study questions, key assumptions, methods, and draft findings at agreed milestones. Consider engineering constraints, transportation and access, environmental conditions, costs, economic effects, and community impacts. Ask whether conclusions are supported, uncertainties are clear, and important questions remain unanswered.</w:t>
      </w:r>
    </w:p>
    <w:p>
      <w:r>
        <w:t>Compare potential lid segments and phased approaches with smaller crossing and public-space improvements. Consolidate comments, request explanations from the study team, and track responses before recommending priorities for further work.</w:t>
      </w:r>
    </w:p>
    <w:p>
      <w:pPr>
        <w:pStyle w:val="Heading2"/>
      </w:pPr>
      <w:r>
        <w:t>3 Bring community experience into the work</w:t>
      </w:r>
    </w:p>
    <w:p>
      <w:r>
        <w:t>Help the project team reach residents, renters, property owners, small businesses, institutions, and people who use the corridor. Review engagement plans and identify missing perspectives, particularly people who face barriers to participation. Report both areas of agreement and unresolved concerns without presenting committee views as universal community consent.</w:t>
      </w:r>
    </w:p>
    <w:p>
      <w:pPr>
        <w:pStyle w:val="Heading2"/>
      </w:pPr>
      <w:r>
        <w:t>4 Evaluate who benefits and who bears the costs</w:t>
      </w:r>
    </w:p>
    <w:p>
      <w:r>
        <w:t>Examine how each alternative could affect accessibility, housing affordability, displacement, business retention, construction disruption, and everyday use of public space. Recommend mitigation measures and further analysis where benefits or burdens may fall unevenly.</w:t>
      </w:r>
    </w:p>
    <w:p>
      <w:pPr>
        <w:pStyle w:val="Heading2"/>
      </w:pPr>
      <w:r>
        <w:t>5 Explore funding and partnerships</w:t>
      </w:r>
    </w:p>
    <w:p>
      <w:r>
        <w:t>Compare potential public funding, grants, philanthropy, institutional partnerships, and Local Improvement District financing. Treat an LID as an option to evaluate as project scope and potential property benefits become clearer. Recommend when a feasibility or special-benefit study would be useful and identify partners who could support that work.</w:t>
      </w:r>
    </w:p>
    <w:p>
      <w:pPr>
        <w:pStyle w:val="Heading2"/>
      </w:pPr>
      <w:r>
        <w:t>6 Recommend a practical path forward</w:t>
      </w:r>
    </w:p>
    <w:p>
      <w:r>
        <w:t>Use study findings and community input to recommend promising alternatives, remaining research needs, potential early improvements, and priorities for the next phase. Raise long-term questions about ownership, operations, maintenance, programming, and accountability alongside construction funding.</w:t>
      </w:r>
    </w:p>
    <w:p>
      <w:r>
        <w:br w:type="page"/>
      </w:r>
    </w:p>
    <w:p>
      <w:pPr>
        <w:pStyle w:val="Heading1"/>
      </w:pPr>
      <w:r>
        <w:t>Committee Organization and Early Work</w:t>
      </w:r>
    </w:p>
    <w:p>
      <w:r>
        <w:t>The committee should organize its work around study milestones and decisions that its advice can inform. UDP and the project team should agree with the committee on review dates, materials, and response expectations at the outset.</w:t>
      </w:r>
    </w:p>
    <w:p>
      <w:pPr>
        <w:pStyle w:val="Heading2"/>
      </w:pPr>
      <w:r>
        <w:t>Working structure</w:t>
      </w:r>
    </w:p>
    <w:p>
      <w:r>
        <w:t>The full committee should retain responsibility for community priorities, study review, and recommendations. A small funding and partnerships subcommittee could explore financing options and report back to the full committee. Its initial remit should cover the overall funding strategy; a dedicated LID group could be considered later if the evidence supports further development.</w:t>
      </w:r>
    </w:p>
    <w:p>
      <w:r>
        <w:t>Committee leaders should work with UDP to cultivate elected champions and agency partners who can help secure study resources and advance future public decisions. Outreach should be coordinated with UDP, with clear agreement about who may speak on behalf of the project.</w:t>
      </w:r>
    </w:p>
    <w:p>
      <w:pPr>
        <w:pStyle w:val="Heading2"/>
      </w:pPr>
      <w:r>
        <w:t>Roles and decision authority</w:t>
      </w:r>
    </w:p>
    <w:p>
      <w:r>
        <w:t>Consistent with the existing project brief, the committee advises UDP staff, the UDP Executive Director, and the project team. UDP retains responsibility for grant compliance, fiscal management, consultant contracts, schedule, and final Phase 1 deliverables, under UDP Board oversight.</w:t>
      </w:r>
    </w:p>
    <w:p>
      <w:r>
        <w:t>Committee review provides community perspective and scrutiny of the studies. Technical professionals remain responsible for their analyses, and authorized public bodies retain their approval roles. The committee can recommend exploring an LID; it does not establish a district, set assessments, or commit public funding.</w:t>
      </w:r>
    </w:p>
    <w:p>
      <w:pPr>
        <w:pStyle w:val="Heading2"/>
      </w:pPr>
      <w:r>
        <w:t>Initial work products</w:t>
      </w:r>
    </w:p>
    <w:p>
      <w:pPr>
        <w:pStyle w:val="ListBullet"/>
      </w:pPr>
      <w:r>
        <w:rPr>
          <w:b/>
        </w:rPr>
        <w:t xml:space="preserve">Shared evaluation criteria. </w:t>
      </w:r>
      <w:r>
        <w:t>A concise set of priorities and questions to guide review of study alternatives.</w:t>
      </w:r>
    </w:p>
    <w:p>
      <w:pPr>
        <w:pStyle w:val="ListBullet"/>
      </w:pPr>
      <w:r>
        <w:rPr>
          <w:b/>
        </w:rPr>
        <w:t xml:space="preserve">Study review schedule and comment log. </w:t>
      </w:r>
      <w:r>
        <w:t>Agreed review milestones, consolidated comments, study-team responses, and unresolved issues requiring follow-up.</w:t>
      </w:r>
    </w:p>
    <w:p>
      <w:pPr>
        <w:pStyle w:val="ListBullet"/>
      </w:pPr>
      <w:r>
        <w:rPr>
          <w:b/>
        </w:rPr>
        <w:t xml:space="preserve">Community priorities summary. </w:t>
      </w:r>
      <w:r>
        <w:t>Documented concerns and opportunities, including gaps in participation and differences of opinion.</w:t>
      </w:r>
    </w:p>
    <w:p>
      <w:pPr>
        <w:pStyle w:val="ListBullet"/>
      </w:pPr>
      <w:r>
        <w:rPr>
          <w:b/>
        </w:rPr>
        <w:t xml:space="preserve">Funding and partnership options memo. </w:t>
      </w:r>
      <w:r>
        <w:t>Potential sources and partners, key uncertainties, and recommended next steps, including whether and when to study LID feasibility.</w:t>
      </w:r>
    </w:p>
    <w:p>
      <w:pPr>
        <w:pStyle w:val="ListBullet"/>
      </w:pPr>
      <w:r>
        <w:rPr>
          <w:b/>
        </w:rPr>
        <w:t xml:space="preserve">Next phase recommendations. </w:t>
      </w:r>
      <w:r>
        <w:t>A short recommendation to UDP identifying options to advance, additional studies needed, and possible early improvements.</w:t>
      </w:r>
    </w:p>
    <w:p>
      <w:pPr>
        <w:pStyle w:val="Heading2"/>
      </w:pPr>
      <w:r>
        <w:t>Ways of working</w:t>
      </w:r>
    </w:p>
    <w:p>
      <w:r>
        <w:t>Provide materials early enough for meaningful review. Record recommendations and material disagreements, disclose relevant interests, and track how advice is addressed. Provide periodic updates to the UDP Board through committee leadership, and revisit these goals as the study scope and findings develop.</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2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Lid I5 North Advisory Committee Goals</dc:title>
  <dc:subject>Proposed advisory committee goals and early work program</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